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6004BAD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BF1CF4">
        <w:rPr>
          <w:rFonts w:asciiTheme="majorHAnsi" w:hAnsiTheme="majorHAnsi"/>
          <w:b/>
          <w:bCs/>
          <w:sz w:val="24"/>
          <w:szCs w:val="24"/>
          <w:lang w:val="ro-RO"/>
        </w:rPr>
        <w:t xml:space="preserve"> 142</w:t>
      </w:r>
    </w:p>
    <w:p w14:paraId="18230DE1" w14:textId="335D94F6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BF1CF4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535A55A5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9550D8">
        <w:rPr>
          <w:rFonts w:asciiTheme="majorHAnsi" w:hAnsiTheme="majorHAnsi"/>
          <w:b/>
          <w:sz w:val="24"/>
          <w:szCs w:val="24"/>
        </w:rPr>
        <w:t>Maier Dorina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0358233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DA0B7A">
        <w:rPr>
          <w:rFonts w:asciiTheme="majorHAnsi" w:hAnsiTheme="majorHAnsi"/>
          <w:sz w:val="24"/>
          <w:szCs w:val="24"/>
        </w:rPr>
        <w:t>9963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>Maier Dorina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11774DA7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>Maier Dorina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șef serviciu </w:t>
      </w:r>
      <w:r w:rsidR="009550D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gradul II </w:t>
      </w:r>
      <w:r w:rsidR="009550D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Serviciului Buget Local, Venituri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717C3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E28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.03-2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01.04-07.04.2020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5F14A072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>Maier Dorina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A73E340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>Maier Dorina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0FC526AF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9A80769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>Maier Dorina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5057B7DC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Maier </w:t>
      </w:r>
      <w:proofErr w:type="spellStart"/>
      <w:r w:rsidR="009550D8">
        <w:rPr>
          <w:rStyle w:val="Strong"/>
          <w:rFonts w:asciiTheme="majorHAnsi" w:hAnsiTheme="majorHAnsi" w:cs="Open Sans"/>
          <w:b w:val="0"/>
          <w:sz w:val="24"/>
          <w:szCs w:val="24"/>
        </w:rPr>
        <w:t>Dorina</w:t>
      </w:r>
      <w:proofErr w:type="spellEnd"/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7C3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35F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D8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1CF4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0B7A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767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6</cp:revision>
  <cp:lastPrinted>2020-03-17T06:29:00Z</cp:lastPrinted>
  <dcterms:created xsi:type="dcterms:W3CDTF">2020-03-17T12:07:00Z</dcterms:created>
  <dcterms:modified xsi:type="dcterms:W3CDTF">2020-03-30T06:29:00Z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