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4513" w14:textId="77777777" w:rsidR="0000279E" w:rsidRPr="00862E4F" w:rsidRDefault="0000279E" w:rsidP="00FD7381">
      <w:pPr>
        <w:spacing w:after="0" w:line="240" w:lineRule="auto"/>
        <w:ind w:right="71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ROMÂNIA</w:t>
      </w:r>
    </w:p>
    <w:p w14:paraId="2BF1C9D0" w14:textId="77777777" w:rsidR="0000279E" w:rsidRPr="00862E4F" w:rsidRDefault="0000279E" w:rsidP="00FD738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JUDEŢUL CLUJ</w:t>
      </w:r>
    </w:p>
    <w:p w14:paraId="5B91DEE2" w14:textId="680040F8" w:rsidR="00315ABB" w:rsidRPr="00862E4F" w:rsidRDefault="0000279E" w:rsidP="00FD7381">
      <w:pPr>
        <w:spacing w:after="0" w:line="240" w:lineRule="auto"/>
        <w:ind w:right="71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CONSILIUL JUDEŢEAN</w:t>
      </w:r>
    </w:p>
    <w:p w14:paraId="06207386" w14:textId="23ED7723" w:rsidR="00151F42" w:rsidRPr="00862E4F" w:rsidRDefault="0000279E" w:rsidP="00FD738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H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O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T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Ă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R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Â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R</w:t>
      </w:r>
      <w:r w:rsidR="00446EAD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E</w:t>
      </w:r>
      <w:bookmarkStart w:id="0" w:name="_Hlk492455302"/>
      <w:r w:rsidR="00151F42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</w:p>
    <w:p w14:paraId="25FC92FB" w14:textId="15398569" w:rsidR="00F74AD3" w:rsidRPr="00862E4F" w:rsidRDefault="00593226" w:rsidP="00FD7381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bookmarkStart w:id="1" w:name="_Hlk493066467"/>
      <w:bookmarkEnd w:id="0"/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privind acordarea unui mandat special reprezentantului Judeţului Cluj </w:t>
      </w:r>
      <w:bookmarkEnd w:id="1"/>
      <w:r w:rsidR="00365E74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în Adunarea Generală a Acţionarilor la </w:t>
      </w:r>
      <w:r w:rsidR="00514E2B" w:rsidRPr="00862E4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Clujana</w:t>
      </w:r>
      <w:r w:rsidR="00D20ACA" w:rsidRPr="00862E4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 S.A.</w:t>
      </w:r>
      <w:r w:rsidR="00365E74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, în vederea exercitării drepturilor de</w:t>
      </w:r>
      <w:r w:rsidR="006B5F20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="00365E74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acţionar</w:t>
      </w:r>
    </w:p>
    <w:p w14:paraId="659F5C9B" w14:textId="77777777" w:rsidR="00666DBA" w:rsidRPr="00862E4F" w:rsidRDefault="00666DBA" w:rsidP="00FD7381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2DB093B5" w14:textId="6CC96054" w:rsidR="00EB648F" w:rsidRPr="00862E4F" w:rsidRDefault="00EB648F" w:rsidP="00FD7381">
      <w:pPr>
        <w:spacing w:after="0" w:line="240" w:lineRule="auto"/>
        <w:ind w:firstLine="709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Consiliul Judeţean Cluj întrunit în şedinţa ordinară;</w:t>
      </w:r>
    </w:p>
    <w:p w14:paraId="77CC79D6" w14:textId="0AF256AF" w:rsidR="00446EAD" w:rsidRPr="00862E4F" w:rsidRDefault="006B5F20" w:rsidP="00FD7381">
      <w:pPr>
        <w:pStyle w:val="ListParagraph"/>
        <w:tabs>
          <w:tab w:val="left" w:pos="90"/>
          <w:tab w:val="left" w:pos="360"/>
          <w:tab w:val="left" w:pos="540"/>
        </w:tabs>
        <w:spacing w:after="0" w:line="240" w:lineRule="auto"/>
        <w:ind w:left="0"/>
        <w:contextualSpacing w:val="0"/>
        <w:jc w:val="both"/>
        <w:rPr>
          <w:rFonts w:ascii="Cambria" w:hAnsi="Cambria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="00EB648F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Având în vedere </w:t>
      </w:r>
      <w:r w:rsidR="00EB648F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R</w:t>
      </w:r>
      <w:r w:rsidR="00EB648F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eferatul de aprobare cu nr. </w:t>
      </w:r>
      <w:r w:rsidR="00DA31E4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>16985</w:t>
      </w:r>
      <w:r w:rsidR="0071688A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/2020 </w:t>
      </w:r>
      <w:r w:rsidR="00EB648F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la Proiectul de hotărâre </w:t>
      </w:r>
      <w:bookmarkStart w:id="2" w:name="_Hlk32575279"/>
      <w:bookmarkStart w:id="3" w:name="_Hlk32565081"/>
      <w:r w:rsidR="00446EAD" w:rsidRPr="00862E4F">
        <w:rPr>
          <w:rFonts w:ascii="Cambria" w:hAnsi="Cambria"/>
          <w:noProof/>
          <w:sz w:val="24"/>
          <w:szCs w:val="24"/>
          <w:lang w:val="pt-BR"/>
        </w:rPr>
        <w:t>înregistrat cu nr. 117 din 26.05.2020</w:t>
      </w:r>
      <w:bookmarkEnd w:id="2"/>
      <w:r w:rsidR="00446EAD" w:rsidRPr="00862E4F">
        <w:rPr>
          <w:rFonts w:ascii="Cambria" w:hAnsi="Cambria"/>
          <w:noProof/>
          <w:sz w:val="24"/>
          <w:szCs w:val="24"/>
          <w:lang w:val="pt-BR"/>
        </w:rPr>
        <w:t xml:space="preserve"> </w:t>
      </w:r>
      <w:bookmarkEnd w:id="3"/>
      <w:r w:rsidR="00EB648F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privind acordarea unui mandat special reprezentantului Judeţului Cluj în Adunarea Generală a Acţionarilor la Clujana S.A, în vederea exercitării drepturilor de acţionar</w:t>
      </w:r>
      <w:r w:rsidR="00EB648F" w:rsidRPr="00862E4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,</w:t>
      </w:r>
      <w:r w:rsidR="00EB648F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="00EB648F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propus de preşedintele Consiliului Judeţean Cluj, domnul Alin Tișe, însoţit de rapoartele compartimentelor de resort din cadrul aparatului de specialitate al Consiliului Judeţean Cluj cu nr. </w:t>
      </w:r>
      <w:r w:rsidR="00DA31E4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>16985</w:t>
      </w:r>
      <w:r w:rsidR="0071688A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>/2020</w:t>
      </w:r>
      <w:r w:rsidR="00DA31E4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 </w:t>
      </w:r>
      <w:r w:rsidR="00446EAD" w:rsidRPr="00862E4F">
        <w:rPr>
          <w:rFonts w:ascii="Cambria" w:hAnsi="Cambria"/>
          <w:noProof/>
          <w:sz w:val="24"/>
          <w:szCs w:val="24"/>
        </w:rPr>
        <w:t xml:space="preserve">și de Avizul </w:t>
      </w:r>
      <w:r w:rsidR="00446EAD" w:rsidRPr="00862E4F">
        <w:rPr>
          <w:rFonts w:ascii="Cambria" w:hAnsi="Cambria"/>
          <w:sz w:val="24"/>
          <w:szCs w:val="24"/>
        </w:rPr>
        <w:t xml:space="preserve">nr.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pt-BR" w:eastAsia="ro-RO"/>
        </w:rPr>
        <w:t>16985</w:t>
      </w:r>
      <w:r w:rsidR="00446EAD" w:rsidRPr="00862E4F">
        <w:rPr>
          <w:rFonts w:ascii="Cambria" w:hAnsi="Cambria"/>
          <w:sz w:val="24"/>
          <w:szCs w:val="24"/>
        </w:rPr>
        <w:t xml:space="preserve"> </w:t>
      </w:r>
      <w:r w:rsidR="00446EAD" w:rsidRPr="00862E4F">
        <w:rPr>
          <w:rFonts w:ascii="Cambria" w:hAnsi="Cambria"/>
          <w:bCs/>
          <w:sz w:val="24"/>
          <w:szCs w:val="24"/>
        </w:rPr>
        <w:t>din 28</w:t>
      </w:r>
      <w:r w:rsidR="00446EAD" w:rsidRPr="00862E4F">
        <w:rPr>
          <w:rFonts w:ascii="Cambria" w:hAnsi="Cambria"/>
          <w:noProof/>
          <w:sz w:val="24"/>
          <w:szCs w:val="24"/>
        </w:rPr>
        <w:t>.05</w:t>
      </w:r>
      <w:r w:rsidR="00446EAD" w:rsidRPr="00862E4F">
        <w:rPr>
          <w:rFonts w:ascii="Cambria" w:hAnsi="Cambria"/>
          <w:bCs/>
          <w:noProof/>
          <w:sz w:val="24"/>
          <w:szCs w:val="24"/>
        </w:rPr>
        <w:t xml:space="preserve">.2020 </w:t>
      </w:r>
      <w:r w:rsidR="00446EAD" w:rsidRPr="00862E4F">
        <w:rPr>
          <w:rFonts w:ascii="Cambria" w:hAnsi="Cambria"/>
          <w:sz w:val="24"/>
          <w:szCs w:val="24"/>
          <w:lang w:val="pt-BR"/>
        </w:rPr>
        <w:t xml:space="preserve">adoptat de </w:t>
      </w:r>
      <w:r w:rsidR="00446EAD" w:rsidRPr="00862E4F">
        <w:rPr>
          <w:rFonts w:ascii="Cambria" w:hAnsi="Cambria"/>
          <w:noProof/>
          <w:sz w:val="24"/>
          <w:szCs w:val="24"/>
        </w:rPr>
        <w:t>Comisia de specialitate nr. 2;</w:t>
      </w:r>
    </w:p>
    <w:p w14:paraId="62DD3143" w14:textId="7A6B0B70" w:rsidR="00E465DD" w:rsidRPr="00862E4F" w:rsidRDefault="00E465DD" w:rsidP="00FD738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  <w:lang w:val="ro-RO"/>
        </w:rPr>
      </w:pPr>
      <w:r w:rsidRPr="00862E4F">
        <w:rPr>
          <w:rFonts w:ascii="Cambria" w:hAnsi="Cambria"/>
          <w:sz w:val="24"/>
          <w:szCs w:val="24"/>
          <w:lang w:val="ro-RO"/>
        </w:rPr>
        <w:t>Ținând cont de</w:t>
      </w:r>
      <w:r w:rsidR="00446EAD" w:rsidRPr="00862E4F">
        <w:rPr>
          <w:rFonts w:ascii="Cambria" w:hAnsi="Cambria"/>
          <w:sz w:val="24"/>
          <w:szCs w:val="24"/>
          <w:lang w:val="ro-RO"/>
        </w:rPr>
        <w:t xml:space="preserve"> </w:t>
      </w:r>
      <w:r w:rsidR="00DA31E4" w:rsidRPr="00862E4F">
        <w:rPr>
          <w:rFonts w:ascii="Cambria" w:hAnsi="Cambria"/>
          <w:sz w:val="24"/>
          <w:szCs w:val="24"/>
          <w:lang w:val="ro-RO"/>
        </w:rPr>
        <w:t xml:space="preserve">Sentința civilă nr. 230/2020, </w:t>
      </w:r>
      <w:r w:rsidR="00B935E8" w:rsidRPr="00862E4F">
        <w:rPr>
          <w:rFonts w:ascii="Cambria" w:hAnsi="Cambria"/>
          <w:sz w:val="24"/>
          <w:szCs w:val="24"/>
          <w:lang w:val="ro-RO"/>
        </w:rPr>
        <w:t xml:space="preserve">înregistrată la Consiliul Județean Cluj cu nr. </w:t>
      </w:r>
      <w:r w:rsidR="00DA31E4" w:rsidRPr="00862E4F">
        <w:rPr>
          <w:rFonts w:ascii="Cambria" w:hAnsi="Cambria"/>
          <w:sz w:val="24"/>
          <w:szCs w:val="24"/>
          <w:lang w:val="ro-RO"/>
        </w:rPr>
        <w:t>16985</w:t>
      </w:r>
      <w:r w:rsidR="00B935E8" w:rsidRPr="00862E4F">
        <w:rPr>
          <w:rFonts w:ascii="Cambria" w:hAnsi="Cambria"/>
          <w:sz w:val="24"/>
          <w:szCs w:val="24"/>
          <w:lang w:val="ro-RO"/>
        </w:rPr>
        <w:t>/1</w:t>
      </w:r>
      <w:r w:rsidR="00DA31E4" w:rsidRPr="00862E4F">
        <w:rPr>
          <w:rFonts w:ascii="Cambria" w:hAnsi="Cambria"/>
          <w:sz w:val="24"/>
          <w:szCs w:val="24"/>
          <w:lang w:val="ro-RO"/>
        </w:rPr>
        <w:t>9</w:t>
      </w:r>
      <w:r w:rsidR="00B935E8" w:rsidRPr="00862E4F">
        <w:rPr>
          <w:rFonts w:ascii="Cambria" w:hAnsi="Cambria"/>
          <w:sz w:val="24"/>
          <w:szCs w:val="24"/>
          <w:lang w:val="ro-RO"/>
        </w:rPr>
        <w:t>.0</w:t>
      </w:r>
      <w:r w:rsidR="00DA31E4" w:rsidRPr="00862E4F">
        <w:rPr>
          <w:rFonts w:ascii="Cambria" w:hAnsi="Cambria"/>
          <w:sz w:val="24"/>
          <w:szCs w:val="24"/>
          <w:lang w:val="ro-RO"/>
        </w:rPr>
        <w:t>5</w:t>
      </w:r>
      <w:r w:rsidR="00B935E8" w:rsidRPr="00862E4F">
        <w:rPr>
          <w:rFonts w:ascii="Cambria" w:hAnsi="Cambria"/>
          <w:sz w:val="24"/>
          <w:szCs w:val="24"/>
          <w:lang w:val="ro-RO"/>
        </w:rPr>
        <w:t>.2020</w:t>
      </w:r>
      <w:r w:rsidR="00446EAD" w:rsidRPr="00862E4F">
        <w:rPr>
          <w:rFonts w:ascii="Cambria" w:hAnsi="Cambria"/>
          <w:sz w:val="24"/>
          <w:szCs w:val="24"/>
          <w:lang w:val="ro-RO"/>
        </w:rPr>
        <w:t xml:space="preserve">; </w:t>
      </w:r>
    </w:p>
    <w:p w14:paraId="5AB7CB07" w14:textId="77777777" w:rsidR="0000279E" w:rsidRPr="00862E4F" w:rsidRDefault="0000279E" w:rsidP="00FD7381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În conformitate cu prevederile:</w:t>
      </w:r>
    </w:p>
    <w:p w14:paraId="62145445" w14:textId="320F3430" w:rsidR="00594E36" w:rsidRPr="00862E4F" w:rsidRDefault="00594E36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Ordonanței de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u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rgență a Guvernului nr. 57/2019 privind Codul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a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dministrativ, cu modificările și completările ulterioare; </w:t>
      </w:r>
    </w:p>
    <w:p w14:paraId="3ED3C2C6" w14:textId="77777777" w:rsidR="00446EAD" w:rsidRPr="00862E4F" w:rsidRDefault="00446EAD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Legii privind societăţile nr. 31/1990, republicată, cu modificările şi completările ulterioare; </w:t>
      </w:r>
    </w:p>
    <w:p w14:paraId="40F1B774" w14:textId="335928E9" w:rsidR="00594E36" w:rsidRPr="00862E4F" w:rsidRDefault="00DA31E4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Ordonanţei de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u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rgenţă a Guvernului nr. 109/2011 privind guvernanţa corporativă a întreprinderilor publice, aprobată prin Legea nr. 111/2016, cu modificările şi completările ulterioare</w:t>
      </w:r>
      <w:r w:rsidR="00594E36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;</w:t>
      </w:r>
    </w:p>
    <w:p w14:paraId="1417B58F" w14:textId="5D77D0D4" w:rsidR="00594E36" w:rsidRPr="00862E4F" w:rsidRDefault="00594E36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248CF5CC" w14:textId="77777777" w:rsidR="000D4927" w:rsidRPr="00862E4F" w:rsidRDefault="000D4927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Hotărârii Consiliului Judeţean Cluj nr. 194/2016 privind desemnarea reprezentanților Județului Cluj în adunarea generală a acționarilor la societățile la care acesta este acționar, cu modificările ulterioare;</w:t>
      </w:r>
    </w:p>
    <w:p w14:paraId="70734006" w14:textId="4291F051" w:rsidR="000D4927" w:rsidRPr="00862E4F" w:rsidRDefault="000D4927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Hotărâr</w:t>
      </w:r>
      <w:r w:rsidR="009A04DC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ii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Consiliului Județean Cluj nr. 288/2016 privind stabilirea unor măsuri în vederea selecţiei membrilor consiliului de administraţie la întreprinderile publice aflate sub autoritatea Consiliului Judeţean Cluj;</w:t>
      </w:r>
    </w:p>
    <w:p w14:paraId="106C1D78" w14:textId="686B065E" w:rsidR="000D4927" w:rsidRPr="00862E4F" w:rsidRDefault="000D4927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Hotărâr</w:t>
      </w:r>
      <w:r w:rsidR="009A04DC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ii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Consiliului Județean Cluj nr. 11/2017</w:t>
      </w:r>
      <w:r w:rsidR="0030627A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privind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constituirea Comisiei de selecției a administratorilor de la întreprinderile publice aflate sub autoritatea Consiliului Judeţean Cluj, modificată prin Hotărârea Consiliului Județean Cluj nr. 112/2017 privind stabilirea unor măsuri în vederea selecţiei membrilor consiliilor de administraţie la întreprinderile publice aflate sub autoritatea Consiliului Judeţean Cluj;</w:t>
      </w:r>
    </w:p>
    <w:p w14:paraId="7CF8F5C3" w14:textId="71C56B52" w:rsidR="009A04DC" w:rsidRPr="00862E4F" w:rsidRDefault="009A04DC" w:rsidP="00FD738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Hotărârii Consiliului Județean nr. 16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/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2018 privind acordarea unui mandat special reprezentantului Judetului Cluj în Adunarea General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ă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 a Ac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ț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ionarilor la Clujana S.A., în vederea exercit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ă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rii drepturilor de acţionar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;</w:t>
      </w:r>
    </w:p>
    <w:p w14:paraId="79457258" w14:textId="7C275DC6" w:rsidR="00594E36" w:rsidRPr="00862E4F" w:rsidRDefault="00594E36" w:rsidP="00FD7381">
      <w:pPr>
        <w:suppressAutoHyphens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 Fiind îndeplinite prevederile cuprinse la art. 182 alin. (4), coroborate cu cele ale art. 136 și art. 139 din Ordonanța de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u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rgență nr. 57/2019 privind Codul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a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dministrativ</w:t>
      </w:r>
      <w:r w:rsidR="00AE257E" w:rsidRPr="00862E4F">
        <w:rPr>
          <w:rFonts w:ascii="Cambria" w:hAnsi="Cambria"/>
          <w:sz w:val="24"/>
          <w:szCs w:val="24"/>
        </w:rPr>
        <w:t xml:space="preserve"> </w:t>
      </w:r>
      <w:r w:rsidR="00AE257E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cu modificările și completările ulterioare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;</w:t>
      </w:r>
    </w:p>
    <w:p w14:paraId="78408BEE" w14:textId="025D6579" w:rsidR="00594E36" w:rsidRPr="00862E4F" w:rsidRDefault="00594E36" w:rsidP="00FD7381">
      <w:pPr>
        <w:suppressAutoHyphens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În temeiul drepturilor conferite prin art. 182 alin. (1) şi art. 196 alin. (1) lit. a) din Ordonanța de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u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 xml:space="preserve">rgență nr. 57/2019 privind Codul </w:t>
      </w:r>
      <w:r w:rsidR="00446EAD"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a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ar-SA"/>
        </w:rPr>
        <w:t>dministrativ, cu modificările şi completările ulterioare;</w:t>
      </w:r>
    </w:p>
    <w:p w14:paraId="7CF45E23" w14:textId="77777777" w:rsidR="0000279E" w:rsidRPr="00862E4F" w:rsidRDefault="00315ABB" w:rsidP="00FD738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862E4F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h o t ă r ă ș</w:t>
      </w:r>
      <w:r w:rsidR="0000279E" w:rsidRPr="00862E4F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t e:</w:t>
      </w:r>
    </w:p>
    <w:p w14:paraId="45CC61B2" w14:textId="77777777" w:rsidR="00F94DBB" w:rsidRPr="00862E4F" w:rsidRDefault="00F94DBB" w:rsidP="00FD738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7797BA66" w14:textId="24C38FC1" w:rsidR="000D4927" w:rsidRPr="00862E4F" w:rsidRDefault="00996AE2" w:rsidP="00FD7381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Art. 1</w:t>
      </w: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Prin derogare de la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prevederile 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Hotărâr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ii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Consiliului Județean Cluj nr. 288/2016 privind stabilirea unor măsuri în vederea selecţiei membrilor consiliului de administraţie la întreprinderile publice aflate sub autoritatea Consiliului Judeţean Cluj, numărul membrilor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onsiliului de administrație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al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societ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ății 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Clujana S.A. este de 3 administratori</w:t>
      </w:r>
      <w:r w:rsidR="001650FF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neexecutivi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.</w:t>
      </w:r>
    </w:p>
    <w:p w14:paraId="31DB3AF9" w14:textId="77777777" w:rsidR="000D4927" w:rsidRPr="00862E4F" w:rsidRDefault="000D4927" w:rsidP="00FD7381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</w:p>
    <w:p w14:paraId="4CE72483" w14:textId="77777777" w:rsidR="006B5F20" w:rsidRPr="00862E4F" w:rsidRDefault="006B5F20" w:rsidP="00FD7381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</w:p>
    <w:p w14:paraId="4CCCC29A" w14:textId="457FA4EE" w:rsidR="00DA0D85" w:rsidRPr="00862E4F" w:rsidRDefault="000D4927" w:rsidP="00FD7381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Art. 2</w:t>
      </w: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</w:t>
      </w:r>
      <w:r w:rsidR="00DA0D8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Se acordă mandat special domnului </w:t>
      </w:r>
      <w:r w:rsidR="00514E2B" w:rsidRPr="00862E4F">
        <w:rPr>
          <w:rFonts w:ascii="Cambria" w:hAnsi="Cambria"/>
          <w:sz w:val="24"/>
          <w:szCs w:val="24"/>
          <w:lang w:val="ro-RO"/>
        </w:rPr>
        <w:t>Popovici Alin</w:t>
      </w:r>
      <w:r w:rsidR="00DA0D8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, în calitate de reprezentant al </w:t>
      </w:r>
      <w:r w:rsidR="006F160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Județului</w:t>
      </w:r>
      <w:r w:rsidR="00DA0D8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Cluj în Adunarea Generală a </w:t>
      </w:r>
      <w:r w:rsidR="006F160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Acționarilor</w:t>
      </w:r>
      <w:r w:rsidR="00DA0D8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la </w:t>
      </w:r>
      <w:r w:rsidR="00514E2B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Clujana</w:t>
      </w:r>
      <w:r w:rsidR="00DA0D8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S.A, pentru:</w:t>
      </w:r>
    </w:p>
    <w:p w14:paraId="710CB808" w14:textId="5AB59E0B" w:rsidR="000D4927" w:rsidRPr="00862E4F" w:rsidRDefault="0054708F" w:rsidP="00FD7381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bookmarkStart w:id="4" w:name="_Hlk40690713"/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a) 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propunerea și aprobarea numărului membrilor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onsiliului de administrație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al societății </w:t>
      </w:r>
      <w:r w:rsidR="000D4927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Clujana S.A. conform art. 1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;</w:t>
      </w:r>
    </w:p>
    <w:p w14:paraId="66527F16" w14:textId="4ABA442D" w:rsidR="00514E2B" w:rsidRPr="00862E4F" w:rsidRDefault="000D4927" w:rsidP="00FD7381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b) co</w:t>
      </w:r>
      <w:r w:rsidR="001B29F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nstatarea </w:t>
      </w: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vacantării posturilor menționate la lit.</w:t>
      </w:r>
      <w:r w:rsidR="008449B4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a)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;</w:t>
      </w:r>
    </w:p>
    <w:p w14:paraId="05E2537A" w14:textId="45BFC469" w:rsidR="00B870AA" w:rsidRPr="00862E4F" w:rsidRDefault="000D4927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c</w:t>
      </w:r>
      <w:r w:rsidR="00B870AA" w:rsidRPr="00862E4F">
        <w:rPr>
          <w:rFonts w:ascii="Cambria" w:eastAsia="Times New Roman" w:hAnsi="Cambria" w:cs="Times New Roman"/>
          <w:noProof/>
          <w:sz w:val="24"/>
          <w:szCs w:val="24"/>
        </w:rPr>
        <w:t>) aprobarea demarării procedurii de selecţie pentru funcțiile de administrator vacante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;</w:t>
      </w:r>
    </w:p>
    <w:p w14:paraId="56A912AF" w14:textId="48396039" w:rsidR="00B870AA" w:rsidRPr="00862E4F" w:rsidRDefault="000D4927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d</w:t>
      </w:r>
      <w:r w:rsidR="00B870AA" w:rsidRPr="00862E4F">
        <w:rPr>
          <w:rFonts w:ascii="Cambria" w:eastAsia="Times New Roman" w:hAnsi="Cambria" w:cs="Times New Roman"/>
          <w:noProof/>
          <w:sz w:val="24"/>
          <w:szCs w:val="24"/>
        </w:rPr>
        <w:t>) aprobarea ca procedura de selecție să se realizeze de către expertul independent, specializat în recrutarea resurselor umane, în baza acordului-cadru existent la autoritatea tutelară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;</w:t>
      </w:r>
    </w:p>
    <w:p w14:paraId="14628C8E" w14:textId="13AC9B0B" w:rsidR="0092646D" w:rsidRPr="00862E4F" w:rsidRDefault="000D4927" w:rsidP="00FD7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Calibri" w:hAnsi="Cambria" w:cs="Times New Roman"/>
          <w:bCs/>
          <w:sz w:val="24"/>
          <w:szCs w:val="24"/>
          <w:lang w:val="ro-RO"/>
        </w:rPr>
        <w:t>e</w:t>
      </w:r>
      <w:r w:rsidR="0092646D" w:rsidRPr="00862E4F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) </w:t>
      </w:r>
      <w:r w:rsidR="0077676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propunerea </w:t>
      </w:r>
      <w:r w:rsidR="00B9797B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și</w:t>
      </w:r>
      <w:r w:rsidR="0077676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desemnarea în calitate de administrator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i </w:t>
      </w: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neexecutivi 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provizorii</w:t>
      </w:r>
      <w:r w:rsidR="0077676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în Consiliului de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</w:t>
      </w:r>
      <w:r w:rsidR="0077676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dministraţie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al societății Clujana S.A.</w:t>
      </w:r>
      <w:r w:rsidR="00776763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, </w:t>
      </w:r>
      <w:r w:rsidR="0092646D" w:rsidRPr="00862E4F">
        <w:rPr>
          <w:rFonts w:ascii="Cambria" w:eastAsia="Calibri" w:hAnsi="Cambria" w:cs="Times New Roman"/>
          <w:bCs/>
          <w:sz w:val="24"/>
          <w:szCs w:val="24"/>
          <w:lang w:val="ro-RO"/>
        </w:rPr>
        <w:t>începând cu</w:t>
      </w:r>
      <w:r w:rsidR="00776763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92646D" w:rsidRPr="00862E4F">
        <w:rPr>
          <w:rFonts w:ascii="Cambria" w:eastAsia="Calibri" w:hAnsi="Cambria" w:cs="Times New Roman"/>
          <w:bCs/>
          <w:sz w:val="24"/>
          <w:szCs w:val="24"/>
          <w:lang w:val="ro-RO"/>
        </w:rPr>
        <w:t>data semnării contractului de mandat și până la finalizarea procedurii de sele</w:t>
      </w:r>
      <w:r w:rsidR="007202D5" w:rsidRPr="00862E4F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cție, dar nu mai mult de 4 luni, a 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următoarelor persoane:  </w:t>
      </w:r>
    </w:p>
    <w:p w14:paraId="23B6EDFE" w14:textId="5CAAC154" w:rsidR="007202D5" w:rsidRPr="00862E4F" w:rsidRDefault="000D4927" w:rsidP="00FD7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1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. Domnul </w:t>
      </w:r>
      <w:r w:rsidR="00195926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Moga Bogdan Claudiu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;</w:t>
      </w:r>
    </w:p>
    <w:p w14:paraId="3BD4EAE9" w14:textId="1DC79201" w:rsidR="007202D5" w:rsidRPr="00862E4F" w:rsidRDefault="000D4927" w:rsidP="00FD7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2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. Domnul </w:t>
      </w:r>
      <w:r w:rsidR="003C0304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Iancu Dănuț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;</w:t>
      </w:r>
    </w:p>
    <w:p w14:paraId="7244CAFA" w14:textId="0C38E5B7" w:rsidR="007202D5" w:rsidRPr="00862E4F" w:rsidRDefault="000D4927" w:rsidP="00FD7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3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. Do</w:t>
      </w:r>
      <w:r w:rsidR="003C0304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amna Suciu Mihaela Rodica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;</w:t>
      </w:r>
    </w:p>
    <w:p w14:paraId="7AB287ED" w14:textId="63FE82F2" w:rsidR="00A71C45" w:rsidRPr="00862E4F" w:rsidRDefault="000D4927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f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>) propunerea şi aprobarea remuneraţiei administratori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lor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provizori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i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în Consiliului de 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a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dministraţie al societății </w:t>
      </w:r>
      <w:r w:rsidR="00B935E8" w:rsidRPr="00862E4F">
        <w:rPr>
          <w:rFonts w:ascii="Cambria" w:eastAsia="Times New Roman" w:hAnsi="Cambria" w:cs="Times New Roman"/>
          <w:noProof/>
          <w:sz w:val="24"/>
          <w:szCs w:val="24"/>
        </w:rPr>
        <w:t>Clujana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S.A.,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2E158BDB" w14:textId="270CA87A" w:rsidR="00A71C45" w:rsidRPr="00862E4F" w:rsidRDefault="00B935E8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g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>) propunerea şi aprobarea contractului de mandat care se încheie cu administrator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ii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provizori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i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, conform contractului de mandat-cadru cuprins în </w:t>
      </w:r>
      <w:r w:rsidR="00A71C45" w:rsidRPr="00862E4F">
        <w:rPr>
          <w:rFonts w:ascii="Cambria" w:eastAsia="Times New Roman" w:hAnsi="Cambria" w:cs="Times New Roman"/>
          <w:b/>
          <w:noProof/>
          <w:sz w:val="24"/>
          <w:szCs w:val="24"/>
        </w:rPr>
        <w:t xml:space="preserve">anexa </w:t>
      </w:r>
      <w:r w:rsidR="00A71C45" w:rsidRPr="00862E4F">
        <w:rPr>
          <w:rFonts w:ascii="Cambria" w:eastAsia="Times New Roman" w:hAnsi="Cambria" w:cs="Times New Roman"/>
          <w:noProof/>
          <w:sz w:val="24"/>
          <w:szCs w:val="24"/>
        </w:rPr>
        <w:t>care face parte integrantă din prezenta hotărâre;</w:t>
      </w:r>
    </w:p>
    <w:p w14:paraId="0A5CC23C" w14:textId="328C9A31" w:rsidR="00A71C45" w:rsidRPr="00862E4F" w:rsidRDefault="00A71C45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h) semnarea contractului de mandat cu administrat</w:t>
      </w:r>
      <w:r w:rsidR="00B02022" w:rsidRPr="00862E4F">
        <w:rPr>
          <w:rFonts w:ascii="Cambria" w:eastAsia="Times New Roman" w:hAnsi="Cambria" w:cs="Times New Roman"/>
          <w:noProof/>
          <w:sz w:val="24"/>
          <w:szCs w:val="24"/>
        </w:rPr>
        <w:t>rii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provizori</w:t>
      </w:r>
      <w:r w:rsidR="00B02022" w:rsidRPr="00862E4F">
        <w:rPr>
          <w:rFonts w:ascii="Cambria" w:eastAsia="Times New Roman" w:hAnsi="Cambria" w:cs="Times New Roman"/>
          <w:noProof/>
          <w:sz w:val="24"/>
          <w:szCs w:val="24"/>
        </w:rPr>
        <w:t>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desemna</w:t>
      </w:r>
      <w:r w:rsidR="00B02022" w:rsidRPr="00862E4F">
        <w:rPr>
          <w:rFonts w:ascii="Cambria" w:eastAsia="Times New Roman" w:hAnsi="Cambria" w:cs="Times New Roman"/>
          <w:noProof/>
          <w:sz w:val="24"/>
          <w:szCs w:val="24"/>
        </w:rPr>
        <w:t>ți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;</w:t>
      </w:r>
    </w:p>
    <w:p w14:paraId="61EB814E" w14:textId="2F467767" w:rsidR="00B935E8" w:rsidRPr="00862E4F" w:rsidRDefault="00B935E8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i) </w:t>
      </w:r>
      <w:r w:rsidR="00260990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aprobarea 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modific</w:t>
      </w:r>
      <w:r w:rsidR="00260990" w:rsidRPr="00862E4F">
        <w:rPr>
          <w:rFonts w:ascii="Cambria" w:eastAsia="Times New Roman" w:hAnsi="Cambria" w:cs="Times New Roman"/>
          <w:noProof/>
          <w:sz w:val="24"/>
          <w:szCs w:val="24"/>
        </w:rPr>
        <w:t>ării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Actului 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c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onstitutiv al </w:t>
      </w:r>
      <w:r w:rsidR="00446EAD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al societății Clujana S.A.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conform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prevederilor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prezentei hotărâri</w:t>
      </w:r>
      <w:r w:rsidR="00446EAD" w:rsidRPr="00862E4F">
        <w:rPr>
          <w:rFonts w:ascii="Cambria" w:eastAsia="Times New Roman" w:hAnsi="Cambria" w:cs="Times New Roman"/>
          <w:noProof/>
          <w:sz w:val="24"/>
          <w:szCs w:val="24"/>
        </w:rPr>
        <w:t>;</w:t>
      </w:r>
    </w:p>
    <w:p w14:paraId="23493D66" w14:textId="2AD817B6" w:rsidR="00B02022" w:rsidRPr="00862E4F" w:rsidRDefault="00B02022" w:rsidP="00FD7381">
      <w:pPr>
        <w:widowControl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62E4F">
        <w:rPr>
          <w:rFonts w:ascii="Cambria" w:eastAsia="Times New Roman" w:hAnsi="Cambria" w:cs="Times New Roman"/>
          <w:noProof/>
          <w:sz w:val="24"/>
          <w:szCs w:val="24"/>
        </w:rPr>
        <w:t>j) împuternicirea administratorului special desemnat</w:t>
      </w:r>
      <w:r w:rsidR="003C0304" w:rsidRPr="00862E4F">
        <w:rPr>
          <w:rFonts w:ascii="Cambria" w:eastAsia="Times New Roman" w:hAnsi="Cambria" w:cs="Times New Roman"/>
          <w:noProof/>
          <w:sz w:val="24"/>
          <w:szCs w:val="24"/>
        </w:rPr>
        <w:t>, domnul Gl</w:t>
      </w:r>
      <w:r w:rsidR="00F90B99" w:rsidRPr="00862E4F">
        <w:rPr>
          <w:rFonts w:ascii="Cambria" w:eastAsia="Times New Roman" w:hAnsi="Cambria" w:cs="Times New Roman"/>
          <w:noProof/>
          <w:sz w:val="24"/>
          <w:szCs w:val="24"/>
        </w:rPr>
        <w:t>i</w:t>
      </w:r>
      <w:r w:rsidR="003C0304" w:rsidRPr="00862E4F">
        <w:rPr>
          <w:rFonts w:ascii="Cambria" w:eastAsia="Times New Roman" w:hAnsi="Cambria" w:cs="Times New Roman"/>
          <w:noProof/>
          <w:sz w:val="24"/>
          <w:szCs w:val="24"/>
        </w:rPr>
        <w:t>ga Florin</w:t>
      </w:r>
      <w:r w:rsidR="0053388B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Valentin</w:t>
      </w:r>
      <w:r w:rsidR="003C0304" w:rsidRPr="00862E4F">
        <w:rPr>
          <w:rFonts w:ascii="Cambria" w:eastAsia="Times New Roman" w:hAnsi="Cambria" w:cs="Times New Roman"/>
          <w:noProof/>
          <w:sz w:val="24"/>
          <w:szCs w:val="24"/>
        </w:rPr>
        <w:t>,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pentru a 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î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ndeplini toate formalit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ăț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ile necesare pentru publicarea </w:t>
      </w:r>
      <w:r w:rsidR="00BE420F"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prezentei 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hot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ă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r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â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rii 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ș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i 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î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nregistrarea </w:t>
      </w:r>
      <w:r w:rsidR="00CC35E7" w:rsidRPr="00862E4F">
        <w:rPr>
          <w:rFonts w:ascii="Cambria" w:eastAsia="Times New Roman" w:hAnsi="Cambria" w:cs="Times New Roman"/>
          <w:noProof/>
          <w:sz w:val="24"/>
          <w:szCs w:val="24"/>
        </w:rPr>
        <w:t>la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 </w:t>
      </w:r>
      <w:r w:rsidR="00CC35E7" w:rsidRPr="00862E4F">
        <w:rPr>
          <w:rFonts w:ascii="Cambria" w:eastAsia="Times New Roman" w:hAnsi="Cambria" w:cs="Times New Roman"/>
          <w:noProof/>
          <w:sz w:val="24"/>
          <w:szCs w:val="24"/>
        </w:rPr>
        <w:t>R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 xml:space="preserve">egistrul </w:t>
      </w:r>
      <w:r w:rsidR="00CC35E7" w:rsidRPr="00862E4F">
        <w:rPr>
          <w:rFonts w:ascii="Cambria" w:eastAsia="Times New Roman" w:hAnsi="Cambria" w:cs="Times New Roman"/>
          <w:noProof/>
          <w:sz w:val="24"/>
          <w:szCs w:val="24"/>
        </w:rPr>
        <w:t>C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omer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ț</w:t>
      </w:r>
      <w:r w:rsidRPr="00862E4F">
        <w:rPr>
          <w:rFonts w:ascii="Cambria" w:eastAsia="Times New Roman" w:hAnsi="Cambria" w:cs="Times New Roman"/>
          <w:noProof/>
          <w:sz w:val="24"/>
          <w:szCs w:val="24"/>
        </w:rPr>
        <w:t>ului</w:t>
      </w:r>
      <w:r w:rsidR="00166282" w:rsidRPr="00862E4F">
        <w:rPr>
          <w:rFonts w:ascii="Cambria" w:eastAsia="Times New Roman" w:hAnsi="Cambria" w:cs="Times New Roman"/>
          <w:noProof/>
          <w:sz w:val="24"/>
          <w:szCs w:val="24"/>
        </w:rPr>
        <w:t>.</w:t>
      </w:r>
    </w:p>
    <w:bookmarkEnd w:id="4"/>
    <w:p w14:paraId="239430AB" w14:textId="77777777" w:rsidR="0092646D" w:rsidRPr="00862E4F" w:rsidRDefault="0092646D" w:rsidP="00FD7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556E30CB" w14:textId="754C83AD" w:rsidR="001B29F3" w:rsidRPr="00862E4F" w:rsidRDefault="001B29F3" w:rsidP="00FD7381">
      <w:pPr>
        <w:widowControl w:val="0"/>
        <w:spacing w:after="0" w:line="240" w:lineRule="auto"/>
        <w:ind w:firstLine="706"/>
        <w:jc w:val="both"/>
        <w:rPr>
          <w:rFonts w:ascii="Cambria" w:eastAsia="Calibri" w:hAnsi="Cambria" w:cs="Times New Roman"/>
          <w:sz w:val="24"/>
          <w:szCs w:val="24"/>
          <w:lang w:val="ro-RO" w:eastAsia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Art. </w:t>
      </w:r>
      <w:r w:rsidR="00B935E8"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3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.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 xml:space="preserve">Reprezentantul Judeţului Cluj în 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Adunarea Generală a Acţionarilor va</w:t>
      </w:r>
      <w:r w:rsidRPr="00862E4F">
        <w:rPr>
          <w:rFonts w:ascii="Cambria" w:eastAsia="Calibri" w:hAnsi="Cambria" w:cs="Times New Roman"/>
          <w:sz w:val="24"/>
          <w:szCs w:val="24"/>
          <w:lang w:val="ro-RO" w:eastAsia="ro-RO"/>
        </w:rPr>
        <w:t xml:space="preserve"> depune la Consiliul Judeţean Cluj, în termen de cel mult două zile de la data desfăşurării şedinţelor A.G.A., copii conforme cu originalul ale hotărârilor adoptate şi ale proceselor-verbale ale şedinţelor.</w:t>
      </w:r>
    </w:p>
    <w:p w14:paraId="7F52AF96" w14:textId="77777777" w:rsidR="005C024F" w:rsidRPr="00862E4F" w:rsidRDefault="005C024F" w:rsidP="00FD7381">
      <w:pPr>
        <w:widowControl w:val="0"/>
        <w:spacing w:after="0" w:line="240" w:lineRule="auto"/>
        <w:ind w:firstLine="706"/>
        <w:jc w:val="both"/>
        <w:rPr>
          <w:rFonts w:ascii="Cambria" w:eastAsia="Calibri" w:hAnsi="Cambria" w:cs="Times New Roman"/>
          <w:sz w:val="24"/>
          <w:szCs w:val="24"/>
          <w:lang w:val="ro-RO" w:eastAsia="ro-RO"/>
        </w:rPr>
      </w:pPr>
    </w:p>
    <w:p w14:paraId="22271783" w14:textId="6C3FF2A2" w:rsidR="00776763" w:rsidRPr="00862E4F" w:rsidRDefault="00753F7C" w:rsidP="00FD7381">
      <w:pPr>
        <w:tabs>
          <w:tab w:val="left" w:pos="1418"/>
        </w:tabs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Art. </w:t>
      </w:r>
      <w:r w:rsidR="00B935E8"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>4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. </w:t>
      </w:r>
      <w:r w:rsidRPr="00862E4F">
        <w:rPr>
          <w:rFonts w:ascii="Cambria" w:eastAsia="Times New Roman" w:hAnsi="Cambria" w:cs="Times New Roman"/>
          <w:sz w:val="24"/>
          <w:szCs w:val="24"/>
          <w:lang w:val="ro-RO"/>
        </w:rPr>
        <w:t>Cu punerea în aplicare a prevederilor prezentei hotărâri se încredinţează</w:t>
      </w:r>
      <w:r w:rsidR="009A04DC" w:rsidRPr="00862E4F">
        <w:rPr>
          <w:rFonts w:ascii="Cambria" w:eastAsia="Times New Roman" w:hAnsi="Cambria" w:cs="Times New Roman"/>
          <w:sz w:val="24"/>
          <w:szCs w:val="24"/>
          <w:lang w:val="ro-RO"/>
        </w:rPr>
        <w:t xml:space="preserve"> societatea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7202D5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Clujana</w:t>
      </w:r>
      <w:r w:rsidR="00D20ACA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S.A.,</w:t>
      </w:r>
      <w:r w:rsidR="009A04DC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 </w:t>
      </w:r>
      <w:r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domnul </w:t>
      </w:r>
      <w:r w:rsidR="007202D5" w:rsidRPr="00862E4F">
        <w:rPr>
          <w:rFonts w:ascii="Cambria" w:hAnsi="Cambria"/>
          <w:sz w:val="24"/>
          <w:szCs w:val="24"/>
          <w:lang w:val="ro-RO"/>
        </w:rPr>
        <w:t>Popovici Alin</w:t>
      </w:r>
      <w:r w:rsidR="00BE420F" w:rsidRPr="00862E4F">
        <w:rPr>
          <w:rFonts w:ascii="Cambria" w:hAnsi="Cambria"/>
          <w:sz w:val="24"/>
          <w:szCs w:val="24"/>
          <w:lang w:val="ro-RO"/>
        </w:rPr>
        <w:t xml:space="preserve"> și </w:t>
      </w:r>
      <w:r w:rsidR="00BE420F" w:rsidRPr="00862E4F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 xml:space="preserve">domnul Gliga Florin </w:t>
      </w:r>
      <w:r w:rsidR="00BE420F" w:rsidRPr="00862E4F">
        <w:rPr>
          <w:rFonts w:ascii="Cambria" w:eastAsia="Times New Roman" w:hAnsi="Cambria" w:cs="Times New Roman"/>
          <w:noProof/>
          <w:sz w:val="24"/>
          <w:szCs w:val="24"/>
        </w:rPr>
        <w:t>Valentin</w:t>
      </w:r>
      <w:r w:rsidR="00776763" w:rsidRPr="00862E4F">
        <w:rPr>
          <w:rFonts w:ascii="Cambria" w:hAnsi="Cambria"/>
          <w:sz w:val="24"/>
          <w:szCs w:val="24"/>
          <w:lang w:val="ro-RO"/>
        </w:rPr>
        <w:t>.</w:t>
      </w:r>
    </w:p>
    <w:p w14:paraId="50BDC68B" w14:textId="77777777" w:rsidR="00776763" w:rsidRPr="00862E4F" w:rsidRDefault="00776763" w:rsidP="00FD7381">
      <w:pPr>
        <w:tabs>
          <w:tab w:val="left" w:pos="1418"/>
        </w:tabs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1B76A70D" w14:textId="413C60D5" w:rsidR="00E22204" w:rsidRPr="00862E4F" w:rsidRDefault="00753F7C" w:rsidP="00FD7381">
      <w:pPr>
        <w:tabs>
          <w:tab w:val="left" w:pos="1418"/>
        </w:tabs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Art. </w:t>
      </w:r>
      <w:r w:rsidR="00B935E8"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>5</w:t>
      </w:r>
      <w:r w:rsidRPr="00862E4F">
        <w:rPr>
          <w:rFonts w:ascii="Cambria" w:eastAsia="Times New Roman" w:hAnsi="Cambria" w:cs="Times New Roman"/>
          <w:b/>
          <w:sz w:val="24"/>
          <w:szCs w:val="24"/>
          <w:lang w:val="ro-RO"/>
        </w:rPr>
        <w:t>.</w:t>
      </w:r>
      <w:r w:rsidRPr="00862E4F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="00E22204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Prezenta hotărâre se comunică prin intermediul secretarului </w:t>
      </w:r>
      <w:r w:rsidR="00F27B4D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general al </w:t>
      </w:r>
      <w:r w:rsidR="00E22204" w:rsidRPr="00862E4F">
        <w:rPr>
          <w:rFonts w:ascii="Cambria" w:eastAsia="Times New Roman" w:hAnsi="Cambria"/>
          <w:bCs/>
          <w:sz w:val="24"/>
          <w:szCs w:val="24"/>
          <w:lang w:val="ro-RO"/>
        </w:rPr>
        <w:t>judeţului, în termenul prevăzut de lege, Direcţiei Generale Buget-Finanţe, Resurse Umane; societății Cluj</w:t>
      </w:r>
      <w:r w:rsidR="00B954AA" w:rsidRPr="00862E4F">
        <w:rPr>
          <w:rFonts w:ascii="Cambria" w:eastAsia="Times New Roman" w:hAnsi="Cambria"/>
          <w:bCs/>
          <w:sz w:val="24"/>
          <w:szCs w:val="24"/>
          <w:lang w:val="ro-RO"/>
        </w:rPr>
        <w:t>ana</w:t>
      </w:r>
      <w:r w:rsidR="00E22204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 S.A.; domnului </w:t>
      </w:r>
      <w:r w:rsidR="00B954AA" w:rsidRPr="00862E4F">
        <w:rPr>
          <w:rFonts w:ascii="Cambria" w:eastAsia="Times New Roman" w:hAnsi="Cambria"/>
          <w:bCs/>
          <w:sz w:val="24"/>
          <w:szCs w:val="24"/>
          <w:lang w:val="ro-RO"/>
        </w:rPr>
        <w:t>Popovici Alin</w:t>
      </w:r>
      <w:r w:rsidR="00BE420F" w:rsidRPr="00862E4F">
        <w:rPr>
          <w:rFonts w:ascii="Cambria" w:eastAsia="Times New Roman" w:hAnsi="Cambria"/>
          <w:bCs/>
          <w:sz w:val="24"/>
          <w:szCs w:val="24"/>
          <w:lang w:val="ro-RO"/>
        </w:rPr>
        <w:t>;</w:t>
      </w:r>
      <w:r w:rsidR="003C0304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 domnului Gliga Florin</w:t>
      </w:r>
      <w:r w:rsidR="00EE0CDD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 Valentin</w:t>
      </w:r>
      <w:r w:rsidR="003C0304" w:rsidRPr="00862E4F">
        <w:rPr>
          <w:rFonts w:ascii="Cambria" w:eastAsia="Times New Roman" w:hAnsi="Cambria"/>
          <w:bCs/>
          <w:sz w:val="24"/>
          <w:szCs w:val="24"/>
          <w:lang w:val="ro-RO"/>
        </w:rPr>
        <w:t>,</w:t>
      </w:r>
      <w:r w:rsidR="00E22204" w:rsidRPr="00862E4F">
        <w:rPr>
          <w:rFonts w:ascii="Cambria" w:eastAsia="Times New Roman" w:hAnsi="Cambria"/>
          <w:bCs/>
          <w:sz w:val="24"/>
          <w:szCs w:val="24"/>
          <w:lang w:val="ro-RO"/>
        </w:rPr>
        <w:t xml:space="preserve"> </w:t>
      </w:r>
      <w:r w:rsidR="00B954AA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persoanelor nominalizate la art. </w:t>
      </w:r>
      <w:r w:rsidR="00B935E8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2</w:t>
      </w:r>
      <w:r w:rsidR="00B954AA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lit. </w:t>
      </w:r>
      <w:r w:rsidR="00B935E8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>e</w:t>
      </w:r>
      <w:r w:rsidR="00B954AA" w:rsidRPr="00862E4F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), </w:t>
      </w:r>
      <w:r w:rsidR="00E22204" w:rsidRPr="00862E4F">
        <w:rPr>
          <w:rFonts w:ascii="Cambria" w:eastAsia="Times New Roman" w:hAnsi="Cambria"/>
          <w:bCs/>
          <w:sz w:val="24"/>
          <w:szCs w:val="24"/>
          <w:lang w:val="ro-RO"/>
        </w:rPr>
        <w:t>precum şi Prefectului Judeţului Cluj şi se aduce la cunoştinţă publică prin afișarea la sediul Consiliului Județean Cluj şi postare pe pagina de internet „www.cjcluj.ro".</w:t>
      </w:r>
    </w:p>
    <w:p w14:paraId="4FAF8839" w14:textId="7DF70E8D" w:rsidR="00BE420F" w:rsidRPr="00862E4F" w:rsidRDefault="00BE420F" w:rsidP="00FD738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bookmarkStart w:id="5" w:name="_Hlk493789196"/>
    </w:p>
    <w:p w14:paraId="09F635EE" w14:textId="77777777" w:rsidR="006B5F20" w:rsidRPr="00862E4F" w:rsidRDefault="006B5F20" w:rsidP="00FD738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C09D3BE" w14:textId="77777777" w:rsidR="00BE420F" w:rsidRPr="00862E4F" w:rsidRDefault="00BE420F" w:rsidP="00FD738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862E4F">
        <w:rPr>
          <w:rFonts w:ascii="Cambria" w:hAnsi="Cambria"/>
          <w:b/>
          <w:sz w:val="24"/>
          <w:szCs w:val="24"/>
        </w:rPr>
        <w:tab/>
      </w:r>
      <w:r w:rsidRPr="00862E4F">
        <w:rPr>
          <w:rFonts w:ascii="Cambria" w:hAnsi="Cambria"/>
          <w:b/>
          <w:sz w:val="24"/>
          <w:szCs w:val="24"/>
        </w:rPr>
        <w:tab/>
      </w:r>
      <w:r w:rsidRPr="00862E4F">
        <w:rPr>
          <w:rFonts w:ascii="Cambria" w:hAnsi="Cambria"/>
          <w:b/>
          <w:sz w:val="24"/>
          <w:szCs w:val="24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  <w:t xml:space="preserve">           </w:t>
      </w:r>
      <w:r w:rsidRPr="00862E4F">
        <w:rPr>
          <w:rFonts w:ascii="Cambria" w:hAnsi="Cambria"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  <w:t xml:space="preserve">          </w:t>
      </w:r>
      <w:r w:rsidRPr="00862E4F">
        <w:rPr>
          <w:rFonts w:ascii="Cambria" w:hAnsi="Cambria"/>
          <w:b/>
          <w:sz w:val="24"/>
          <w:szCs w:val="24"/>
          <w:lang w:val="de-DE"/>
        </w:rPr>
        <w:t>Contrasemnează:</w:t>
      </w:r>
    </w:p>
    <w:p w14:paraId="400CF31F" w14:textId="77777777" w:rsidR="00BE420F" w:rsidRPr="00862E4F" w:rsidRDefault="00BE420F" w:rsidP="00FD738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de-DE"/>
        </w:rPr>
      </w:pPr>
      <w:r w:rsidRPr="00862E4F">
        <w:rPr>
          <w:rFonts w:ascii="Cambria" w:hAnsi="Cambria"/>
          <w:sz w:val="24"/>
          <w:szCs w:val="24"/>
          <w:lang w:val="de-DE"/>
        </w:rPr>
        <w:t xml:space="preserve">            </w:t>
      </w:r>
      <w:r w:rsidRPr="00862E4F">
        <w:rPr>
          <w:rFonts w:ascii="Cambria" w:hAnsi="Cambria"/>
          <w:b/>
          <w:sz w:val="24"/>
          <w:szCs w:val="24"/>
          <w:lang w:val="de-DE"/>
        </w:rPr>
        <w:t>PREŞEDINTE,</w:t>
      </w:r>
      <w:r w:rsidRPr="00862E4F">
        <w:rPr>
          <w:rFonts w:ascii="Cambria" w:hAnsi="Cambria"/>
          <w:b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</w:r>
      <w:r w:rsidRPr="00862E4F">
        <w:rPr>
          <w:rFonts w:ascii="Cambria" w:hAnsi="Cambria"/>
          <w:sz w:val="24"/>
          <w:szCs w:val="24"/>
          <w:lang w:val="de-DE"/>
        </w:rPr>
        <w:tab/>
        <w:t xml:space="preserve">  </w:t>
      </w:r>
      <w:r w:rsidRPr="00862E4F">
        <w:rPr>
          <w:rFonts w:ascii="Cambria" w:hAnsi="Cambria"/>
          <w:sz w:val="24"/>
          <w:szCs w:val="24"/>
          <w:lang w:val="de-DE"/>
        </w:rPr>
        <w:tab/>
        <w:t xml:space="preserve"> </w:t>
      </w:r>
      <w:r w:rsidRPr="00862E4F">
        <w:rPr>
          <w:rFonts w:ascii="Cambria" w:hAnsi="Cambria"/>
          <w:b/>
          <w:sz w:val="24"/>
          <w:szCs w:val="24"/>
          <w:lang w:val="de-DE"/>
        </w:rPr>
        <w:t>SECRETAR GENERAL AL JUDEŢULUI,</w:t>
      </w:r>
    </w:p>
    <w:p w14:paraId="4BD7B099" w14:textId="77777777" w:rsidR="00BE420F" w:rsidRPr="00862E4F" w:rsidRDefault="00BE420F" w:rsidP="00FD738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de-DE"/>
        </w:rPr>
      </w:pPr>
      <w:r w:rsidRPr="00862E4F">
        <w:rPr>
          <w:rFonts w:ascii="Cambria" w:hAnsi="Cambria"/>
          <w:b/>
          <w:sz w:val="24"/>
          <w:szCs w:val="24"/>
          <w:lang w:val="de-DE"/>
        </w:rPr>
        <w:t xml:space="preserve">                 Alin Tișe                                                             </w:t>
      </w:r>
      <w:r w:rsidRPr="00862E4F">
        <w:rPr>
          <w:rFonts w:ascii="Cambria" w:hAnsi="Cambria"/>
          <w:b/>
          <w:sz w:val="24"/>
          <w:szCs w:val="24"/>
          <w:lang w:val="de-DE"/>
        </w:rPr>
        <w:tab/>
        <w:t xml:space="preserve">               Simona Gaci</w:t>
      </w:r>
    </w:p>
    <w:p w14:paraId="2C9EAA3C" w14:textId="5A709E90" w:rsidR="00BE420F" w:rsidRPr="00862E4F" w:rsidRDefault="00BE420F" w:rsidP="00FD738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de-DE"/>
        </w:rPr>
      </w:pPr>
    </w:p>
    <w:p w14:paraId="2D7FE683" w14:textId="77777777" w:rsidR="006B5F20" w:rsidRPr="00862E4F" w:rsidRDefault="006B5F20" w:rsidP="00FD7381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  <w:lang w:val="de-DE"/>
        </w:rPr>
      </w:pPr>
    </w:p>
    <w:p w14:paraId="40C0D77C" w14:textId="044F41B6" w:rsidR="00BE420F" w:rsidRPr="00862E4F" w:rsidRDefault="00BE420F" w:rsidP="00FD7381">
      <w:pPr>
        <w:spacing w:after="0" w:line="240" w:lineRule="auto"/>
        <w:rPr>
          <w:rFonts w:ascii="Cambria" w:hAnsi="Cambria" w:cs="Calibri"/>
          <w:b/>
          <w:bCs/>
          <w:sz w:val="24"/>
          <w:szCs w:val="24"/>
        </w:rPr>
      </w:pPr>
      <w:r w:rsidRPr="00862E4F">
        <w:rPr>
          <w:rFonts w:ascii="Cambria" w:hAnsi="Cambria" w:cs="Calibri"/>
          <w:b/>
          <w:bCs/>
          <w:sz w:val="24"/>
          <w:szCs w:val="24"/>
        </w:rPr>
        <w:t>Nr. 12</w:t>
      </w:r>
      <w:r w:rsidR="006B5F20" w:rsidRPr="00862E4F">
        <w:rPr>
          <w:rFonts w:ascii="Cambria" w:hAnsi="Cambria" w:cs="Calibri"/>
          <w:b/>
          <w:bCs/>
          <w:sz w:val="24"/>
          <w:szCs w:val="24"/>
        </w:rPr>
        <w:t>1</w:t>
      </w:r>
      <w:r w:rsidRPr="00862E4F">
        <w:rPr>
          <w:rFonts w:ascii="Cambria" w:hAnsi="Cambria" w:cs="Calibri"/>
          <w:b/>
          <w:bCs/>
          <w:sz w:val="24"/>
          <w:szCs w:val="24"/>
        </w:rPr>
        <w:t xml:space="preserve"> din 28 mai 2020</w:t>
      </w:r>
    </w:p>
    <w:p w14:paraId="75F0BADD" w14:textId="05FFFE41" w:rsidR="001F232E" w:rsidRPr="00862E4F" w:rsidRDefault="00E338F2" w:rsidP="00E338F2">
      <w:pPr>
        <w:jc w:val="both"/>
        <w:rPr>
          <w:rFonts w:ascii="Cambria" w:eastAsia="SimSun" w:hAnsi="Cambria" w:cs="Times New Roman"/>
          <w:sz w:val="20"/>
          <w:szCs w:val="20"/>
          <w:lang w:val="ro-RO" w:eastAsia="ar-SA"/>
        </w:rPr>
      </w:pPr>
      <w:r w:rsidRPr="00862E4F">
        <w:rPr>
          <w:rFonts w:ascii="Cambria" w:hAnsi="Cambria"/>
          <w:i/>
          <w:iCs/>
          <w:sz w:val="20"/>
          <w:szCs w:val="20"/>
        </w:rPr>
        <w:t xml:space="preserve">Prezenta hotărâre a fost adoptată cu 27 de voturi “pentru”, fiind astfel respectate prevederile legale privind majoritatea de voturi necesară. La ședința publică, care s-a desfășurat </w:t>
      </w:r>
      <w:r w:rsidRPr="00862E4F">
        <w:rPr>
          <w:rFonts w:ascii="Cambria" w:hAnsi="Cambria"/>
          <w:bCs/>
          <w:i/>
          <w:iCs/>
          <w:sz w:val="20"/>
          <w:szCs w:val="20"/>
        </w:rPr>
        <w:t xml:space="preserve">prin intermediul unei platforme on-line de videoconferință, </w:t>
      </w:r>
      <w:r w:rsidRPr="00862E4F">
        <w:rPr>
          <w:rFonts w:ascii="Cambria" w:hAnsi="Cambria"/>
          <w:i/>
          <w:iCs/>
          <w:sz w:val="20"/>
          <w:szCs w:val="20"/>
        </w:rPr>
        <w:t>din totalul celor 36 de consilieri judeţeni în funcţie și-au înregistrat prezența un număr de 3</w:t>
      </w:r>
      <w:r w:rsidR="005B0D1F" w:rsidRPr="00862E4F">
        <w:rPr>
          <w:rFonts w:ascii="Cambria" w:hAnsi="Cambria"/>
          <w:i/>
          <w:iCs/>
          <w:sz w:val="20"/>
          <w:szCs w:val="20"/>
        </w:rPr>
        <w:t>5</w:t>
      </w:r>
      <w:r w:rsidRPr="00862E4F">
        <w:rPr>
          <w:rFonts w:ascii="Cambria" w:hAnsi="Cambria"/>
          <w:i/>
          <w:iCs/>
          <w:sz w:val="20"/>
          <w:szCs w:val="20"/>
        </w:rPr>
        <w:t xml:space="preserve"> consilieri județeni.</w:t>
      </w:r>
      <w:bookmarkEnd w:id="5"/>
    </w:p>
    <w:sectPr w:rsidR="001F232E" w:rsidRPr="00862E4F" w:rsidSect="006B5F20">
      <w:pgSz w:w="12240" w:h="15840"/>
      <w:pgMar w:top="270" w:right="900" w:bottom="2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FD959" w14:textId="77777777" w:rsidR="006D65DB" w:rsidRDefault="006D65DB" w:rsidP="0000279E">
      <w:pPr>
        <w:spacing w:after="0" w:line="240" w:lineRule="auto"/>
      </w:pPr>
      <w:r>
        <w:separator/>
      </w:r>
    </w:p>
  </w:endnote>
  <w:endnote w:type="continuationSeparator" w:id="0">
    <w:p w14:paraId="145FC9A9" w14:textId="77777777" w:rsidR="006D65DB" w:rsidRDefault="006D65DB" w:rsidP="0000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90237" w14:textId="77777777" w:rsidR="006D65DB" w:rsidRDefault="006D65DB" w:rsidP="0000279E">
      <w:pPr>
        <w:spacing w:after="0" w:line="240" w:lineRule="auto"/>
      </w:pPr>
      <w:r>
        <w:separator/>
      </w:r>
    </w:p>
  </w:footnote>
  <w:footnote w:type="continuationSeparator" w:id="0">
    <w:p w14:paraId="224B3E35" w14:textId="77777777" w:rsidR="006D65DB" w:rsidRDefault="006D65DB" w:rsidP="0000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349"/>
        </w:tabs>
        <w:ind w:left="106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/>
      </w:r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247B"/>
    <w:multiLevelType w:val="hybridMultilevel"/>
    <w:tmpl w:val="8D8E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6598"/>
    <w:multiLevelType w:val="hybridMultilevel"/>
    <w:tmpl w:val="72B034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915C1"/>
    <w:multiLevelType w:val="hybridMultilevel"/>
    <w:tmpl w:val="4EA0BEAE"/>
    <w:lvl w:ilvl="0" w:tplc="7EC85F9C">
      <w:start w:val="1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985EF2"/>
    <w:multiLevelType w:val="hybridMultilevel"/>
    <w:tmpl w:val="9D2645DE"/>
    <w:lvl w:ilvl="0" w:tplc="B818F31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38193C"/>
    <w:multiLevelType w:val="hybridMultilevel"/>
    <w:tmpl w:val="7D94FE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962B46"/>
    <w:multiLevelType w:val="hybridMultilevel"/>
    <w:tmpl w:val="6B1439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39A9"/>
    <w:multiLevelType w:val="hybridMultilevel"/>
    <w:tmpl w:val="9EC4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2796"/>
    <w:multiLevelType w:val="hybridMultilevel"/>
    <w:tmpl w:val="DEBC5E5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A16E3F"/>
    <w:multiLevelType w:val="hybridMultilevel"/>
    <w:tmpl w:val="75F6FC4C"/>
    <w:lvl w:ilvl="0" w:tplc="312E075A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381BBB"/>
    <w:multiLevelType w:val="hybridMultilevel"/>
    <w:tmpl w:val="0BC4A33C"/>
    <w:lvl w:ilvl="0" w:tplc="312E075A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  <w:color w:val="auto"/>
      </w:rPr>
    </w:lvl>
    <w:lvl w:ilvl="1" w:tplc="08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76"/>
    <w:rsid w:val="0000279E"/>
    <w:rsid w:val="00014B98"/>
    <w:rsid w:val="000210BA"/>
    <w:rsid w:val="000453AC"/>
    <w:rsid w:val="000531F1"/>
    <w:rsid w:val="000677CF"/>
    <w:rsid w:val="00080B60"/>
    <w:rsid w:val="000A7BE1"/>
    <w:rsid w:val="000B39A8"/>
    <w:rsid w:val="000C4123"/>
    <w:rsid w:val="000C5C76"/>
    <w:rsid w:val="000D4927"/>
    <w:rsid w:val="000D70E5"/>
    <w:rsid w:val="000E305A"/>
    <w:rsid w:val="00125604"/>
    <w:rsid w:val="00151F42"/>
    <w:rsid w:val="001650FF"/>
    <w:rsid w:val="00166282"/>
    <w:rsid w:val="00195926"/>
    <w:rsid w:val="001B29F3"/>
    <w:rsid w:val="001F232E"/>
    <w:rsid w:val="001F3B07"/>
    <w:rsid w:val="001F7D2F"/>
    <w:rsid w:val="002221E3"/>
    <w:rsid w:val="00260990"/>
    <w:rsid w:val="00285020"/>
    <w:rsid w:val="002942FE"/>
    <w:rsid w:val="002B6D77"/>
    <w:rsid w:val="002B7535"/>
    <w:rsid w:val="002D6186"/>
    <w:rsid w:val="002E50CD"/>
    <w:rsid w:val="00300348"/>
    <w:rsid w:val="0030627A"/>
    <w:rsid w:val="00315ABB"/>
    <w:rsid w:val="00321CFA"/>
    <w:rsid w:val="00322870"/>
    <w:rsid w:val="003407FA"/>
    <w:rsid w:val="00344561"/>
    <w:rsid w:val="00355A82"/>
    <w:rsid w:val="00365E74"/>
    <w:rsid w:val="00372060"/>
    <w:rsid w:val="003B0D7E"/>
    <w:rsid w:val="003B34F6"/>
    <w:rsid w:val="003B3B38"/>
    <w:rsid w:val="003C0304"/>
    <w:rsid w:val="003E61F5"/>
    <w:rsid w:val="003F6ED4"/>
    <w:rsid w:val="004021FF"/>
    <w:rsid w:val="004037C5"/>
    <w:rsid w:val="004056F0"/>
    <w:rsid w:val="004367DA"/>
    <w:rsid w:val="00446EAD"/>
    <w:rsid w:val="004555C0"/>
    <w:rsid w:val="0048348F"/>
    <w:rsid w:val="00495950"/>
    <w:rsid w:val="004B356C"/>
    <w:rsid w:val="004C617E"/>
    <w:rsid w:val="00514E2B"/>
    <w:rsid w:val="00517D1F"/>
    <w:rsid w:val="00530AC6"/>
    <w:rsid w:val="0053388B"/>
    <w:rsid w:val="00541FA8"/>
    <w:rsid w:val="00543904"/>
    <w:rsid w:val="0054708F"/>
    <w:rsid w:val="005740BC"/>
    <w:rsid w:val="00583B03"/>
    <w:rsid w:val="005854E7"/>
    <w:rsid w:val="00591812"/>
    <w:rsid w:val="00592C9D"/>
    <w:rsid w:val="00593226"/>
    <w:rsid w:val="0059353C"/>
    <w:rsid w:val="00594E36"/>
    <w:rsid w:val="005B0390"/>
    <w:rsid w:val="005B0D1F"/>
    <w:rsid w:val="005C024F"/>
    <w:rsid w:val="005C1C6F"/>
    <w:rsid w:val="005C3FF4"/>
    <w:rsid w:val="005D7445"/>
    <w:rsid w:val="005E3750"/>
    <w:rsid w:val="006128C6"/>
    <w:rsid w:val="00614939"/>
    <w:rsid w:val="00620926"/>
    <w:rsid w:val="00623542"/>
    <w:rsid w:val="0062437E"/>
    <w:rsid w:val="00624CFB"/>
    <w:rsid w:val="006269C2"/>
    <w:rsid w:val="00642409"/>
    <w:rsid w:val="00644D4F"/>
    <w:rsid w:val="00651385"/>
    <w:rsid w:val="00666DBA"/>
    <w:rsid w:val="0067217E"/>
    <w:rsid w:val="006825DA"/>
    <w:rsid w:val="0069287B"/>
    <w:rsid w:val="006B2F6E"/>
    <w:rsid w:val="006B3FB5"/>
    <w:rsid w:val="006B5F20"/>
    <w:rsid w:val="006C3457"/>
    <w:rsid w:val="006D65DB"/>
    <w:rsid w:val="006F1607"/>
    <w:rsid w:val="0071688A"/>
    <w:rsid w:val="007202D5"/>
    <w:rsid w:val="007364C3"/>
    <w:rsid w:val="00746736"/>
    <w:rsid w:val="00753F7C"/>
    <w:rsid w:val="00762946"/>
    <w:rsid w:val="00776763"/>
    <w:rsid w:val="007820A0"/>
    <w:rsid w:val="007905F2"/>
    <w:rsid w:val="007927E9"/>
    <w:rsid w:val="007A5CBE"/>
    <w:rsid w:val="007C0DC9"/>
    <w:rsid w:val="008003E7"/>
    <w:rsid w:val="0080284E"/>
    <w:rsid w:val="008152E6"/>
    <w:rsid w:val="0084353E"/>
    <w:rsid w:val="008449B4"/>
    <w:rsid w:val="008476E1"/>
    <w:rsid w:val="00862E4F"/>
    <w:rsid w:val="00863429"/>
    <w:rsid w:val="00876E03"/>
    <w:rsid w:val="00877743"/>
    <w:rsid w:val="00880BE0"/>
    <w:rsid w:val="00892FC4"/>
    <w:rsid w:val="008B2B4F"/>
    <w:rsid w:val="008C04BF"/>
    <w:rsid w:val="008C0A7B"/>
    <w:rsid w:val="008C54FD"/>
    <w:rsid w:val="00901D51"/>
    <w:rsid w:val="00905F7A"/>
    <w:rsid w:val="00911E74"/>
    <w:rsid w:val="0092646D"/>
    <w:rsid w:val="00931FEF"/>
    <w:rsid w:val="0093222F"/>
    <w:rsid w:val="00962E5C"/>
    <w:rsid w:val="009910B7"/>
    <w:rsid w:val="00996AE2"/>
    <w:rsid w:val="009A04DC"/>
    <w:rsid w:val="009D7A99"/>
    <w:rsid w:val="009F4629"/>
    <w:rsid w:val="00A1729C"/>
    <w:rsid w:val="00A23B15"/>
    <w:rsid w:val="00A24343"/>
    <w:rsid w:val="00A27DBC"/>
    <w:rsid w:val="00A444A1"/>
    <w:rsid w:val="00A67921"/>
    <w:rsid w:val="00A71C45"/>
    <w:rsid w:val="00A9611C"/>
    <w:rsid w:val="00AA348A"/>
    <w:rsid w:val="00AC0882"/>
    <w:rsid w:val="00AC2304"/>
    <w:rsid w:val="00AC5CC6"/>
    <w:rsid w:val="00AC6034"/>
    <w:rsid w:val="00AC616B"/>
    <w:rsid w:val="00AE257E"/>
    <w:rsid w:val="00AE3F5E"/>
    <w:rsid w:val="00AF1128"/>
    <w:rsid w:val="00AF49BA"/>
    <w:rsid w:val="00B02022"/>
    <w:rsid w:val="00B03F80"/>
    <w:rsid w:val="00B22E7C"/>
    <w:rsid w:val="00B75A52"/>
    <w:rsid w:val="00B86E11"/>
    <w:rsid w:val="00B870AA"/>
    <w:rsid w:val="00B935E8"/>
    <w:rsid w:val="00B954AA"/>
    <w:rsid w:val="00B957A3"/>
    <w:rsid w:val="00B9797B"/>
    <w:rsid w:val="00BA3B3D"/>
    <w:rsid w:val="00BA47BD"/>
    <w:rsid w:val="00BC5514"/>
    <w:rsid w:val="00BC5D62"/>
    <w:rsid w:val="00BC6D0B"/>
    <w:rsid w:val="00BE420F"/>
    <w:rsid w:val="00BE6D8C"/>
    <w:rsid w:val="00C34E55"/>
    <w:rsid w:val="00C5432E"/>
    <w:rsid w:val="00C70647"/>
    <w:rsid w:val="00C71C96"/>
    <w:rsid w:val="00CA5306"/>
    <w:rsid w:val="00CA7B18"/>
    <w:rsid w:val="00CB7EBA"/>
    <w:rsid w:val="00CC224B"/>
    <w:rsid w:val="00CC35E7"/>
    <w:rsid w:val="00CE669A"/>
    <w:rsid w:val="00CF0B3A"/>
    <w:rsid w:val="00D20ACA"/>
    <w:rsid w:val="00D30476"/>
    <w:rsid w:val="00D30EC8"/>
    <w:rsid w:val="00D54EE3"/>
    <w:rsid w:val="00D65FC7"/>
    <w:rsid w:val="00D71287"/>
    <w:rsid w:val="00D823F3"/>
    <w:rsid w:val="00DA0D85"/>
    <w:rsid w:val="00DA31E4"/>
    <w:rsid w:val="00DA74E1"/>
    <w:rsid w:val="00DB700C"/>
    <w:rsid w:val="00DE0800"/>
    <w:rsid w:val="00DE1396"/>
    <w:rsid w:val="00DE5CF8"/>
    <w:rsid w:val="00E10857"/>
    <w:rsid w:val="00E22204"/>
    <w:rsid w:val="00E22728"/>
    <w:rsid w:val="00E32DB2"/>
    <w:rsid w:val="00E338F2"/>
    <w:rsid w:val="00E465DD"/>
    <w:rsid w:val="00E6022D"/>
    <w:rsid w:val="00E750A8"/>
    <w:rsid w:val="00EB1B00"/>
    <w:rsid w:val="00EB1F77"/>
    <w:rsid w:val="00EB648F"/>
    <w:rsid w:val="00EB7137"/>
    <w:rsid w:val="00EE0CDD"/>
    <w:rsid w:val="00EF341A"/>
    <w:rsid w:val="00EF6952"/>
    <w:rsid w:val="00F14CC6"/>
    <w:rsid w:val="00F27B4D"/>
    <w:rsid w:val="00F33A89"/>
    <w:rsid w:val="00F60CB0"/>
    <w:rsid w:val="00F61A34"/>
    <w:rsid w:val="00F66619"/>
    <w:rsid w:val="00F7490D"/>
    <w:rsid w:val="00F74AD3"/>
    <w:rsid w:val="00F90B99"/>
    <w:rsid w:val="00F94DBB"/>
    <w:rsid w:val="00FA652C"/>
    <w:rsid w:val="00FA6708"/>
    <w:rsid w:val="00FD7381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8ED"/>
  <w15:chartTrackingRefBased/>
  <w15:docId w15:val="{EADFE367-1FFF-4325-BBE6-3C9806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9E"/>
  </w:style>
  <w:style w:type="paragraph" w:styleId="Footer">
    <w:name w:val="footer"/>
    <w:basedOn w:val="Normal"/>
    <w:link w:val="FooterChar"/>
    <w:uiPriority w:val="99"/>
    <w:unhideWhenUsed/>
    <w:rsid w:val="0000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9E"/>
  </w:style>
  <w:style w:type="paragraph" w:styleId="NoSpacing">
    <w:name w:val="No Spacing"/>
    <w:uiPriority w:val="99"/>
    <w:qFormat/>
    <w:rsid w:val="0000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41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4123"/>
  </w:style>
  <w:style w:type="character" w:styleId="Hyperlink">
    <w:name w:val="Hyperlink"/>
    <w:basedOn w:val="DefaultParagraphFont"/>
    <w:uiPriority w:val="99"/>
    <w:unhideWhenUsed/>
    <w:rsid w:val="00A96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51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8F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420F"/>
    <w:rPr>
      <w:b/>
      <w:bCs/>
    </w:rPr>
  </w:style>
  <w:style w:type="character" w:customStyle="1" w:styleId="salnbdy">
    <w:name w:val="s_aln_bdy"/>
    <w:rsid w:val="00BE420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B31D-835E-4A78-BD72-BD2F753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1032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Tripon</dc:creator>
  <cp:keywords/>
  <dc:description/>
  <cp:lastModifiedBy>Mihaela Biscovan</cp:lastModifiedBy>
  <cp:revision>71</cp:revision>
  <cp:lastPrinted>2020-05-29T04:25:00Z</cp:lastPrinted>
  <dcterms:created xsi:type="dcterms:W3CDTF">2017-09-21T16:57:00Z</dcterms:created>
  <dcterms:modified xsi:type="dcterms:W3CDTF">2020-05-29T08:48:00Z</dcterms:modified>
</cp:coreProperties>
</file>