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7754CC89" w14:textId="1E116035" w:rsidR="003635BD" w:rsidRPr="003635BD" w:rsidRDefault="00586692" w:rsidP="003635BD">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3635BD" w:rsidRPr="003635BD">
        <w:rPr>
          <w:rFonts w:ascii="Montserrat Light" w:eastAsia="Times New Roman" w:hAnsi="Montserrat Light"/>
          <w:b/>
          <w:iCs/>
          <w:noProof/>
          <w:lang w:val="ro-RO" w:eastAsia="ro-RO"/>
        </w:rPr>
        <w:t>Servicii de proiectare și asistență tehnică pentru realizarea documentațiilor necesare modernizării drumurilor județene</w:t>
      </w:r>
    </w:p>
    <w:p w14:paraId="3F75200C" w14:textId="0B37ACF7" w:rsidR="002724D3" w:rsidRPr="00724AD8" w:rsidRDefault="003635BD" w:rsidP="003635BD">
      <w:pPr>
        <w:autoSpaceDE w:val="0"/>
        <w:autoSpaceDN w:val="0"/>
        <w:adjustRightInd w:val="0"/>
        <w:spacing w:line="240" w:lineRule="auto"/>
        <w:contextualSpacing/>
        <w:jc w:val="center"/>
        <w:rPr>
          <w:rFonts w:ascii="Montserrat Light" w:eastAsia="Times New Roman" w:hAnsi="Montserrat Light"/>
          <w:b/>
          <w:iCs/>
          <w:noProof/>
          <w:lang w:val="ro-RO" w:eastAsia="ro-RO"/>
        </w:rPr>
      </w:pPr>
      <w:r w:rsidRPr="003635BD">
        <w:rPr>
          <w:rFonts w:ascii="Montserrat Light" w:eastAsia="Times New Roman" w:hAnsi="Montserrat Light"/>
          <w:b/>
          <w:iCs/>
          <w:noProof/>
          <w:lang w:val="ro-RO" w:eastAsia="ro-RO"/>
        </w:rPr>
        <w:t>DJ 161C Corneni – Pintic, km13+000 – km 17+718</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388CE8AF"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866A1A" w:rsidRPr="00866A1A">
        <w:rPr>
          <w:rFonts w:ascii="Montserrat Light" w:eastAsia="Times New Roman" w:hAnsi="Montserrat Light"/>
          <w:noProof/>
          <w:lang w:val="ro-RO" w:eastAsia="ro-RO"/>
        </w:rPr>
        <w:t>25237/17.06.2024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424249D3" w:rsidR="00193457" w:rsidRPr="00193457" w:rsidRDefault="00193457" w:rsidP="003635BD">
      <w:pPr>
        <w:pStyle w:val="Indentcorptext"/>
        <w:spacing w:after="24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bookmarkStart w:id="3" w:name="_Hlk169520379"/>
      <w:r w:rsidR="003635BD" w:rsidRPr="003635BD">
        <w:rPr>
          <w:rFonts w:ascii="Montserrat Light" w:hAnsi="Montserrat Light"/>
          <w:noProof/>
          <w:sz w:val="22"/>
          <w:szCs w:val="22"/>
          <w:lang w:val="ro-RO"/>
        </w:rPr>
        <w:t>Servicii de proiectare și asistență tehnică pentru realizarea documentațiilor necesare modernizării drumurilor județene</w:t>
      </w:r>
      <w:r w:rsidR="003635BD">
        <w:rPr>
          <w:rFonts w:ascii="Montserrat Light" w:hAnsi="Montserrat Light"/>
          <w:noProof/>
          <w:sz w:val="22"/>
          <w:szCs w:val="22"/>
          <w:lang w:val="ro-RO"/>
        </w:rPr>
        <w:t xml:space="preserve"> </w:t>
      </w:r>
      <w:r w:rsidR="003635BD" w:rsidRPr="003635BD">
        <w:rPr>
          <w:rFonts w:ascii="Montserrat Light" w:hAnsi="Montserrat Light"/>
          <w:noProof/>
          <w:sz w:val="22"/>
          <w:szCs w:val="22"/>
          <w:lang w:val="ro-RO"/>
        </w:rPr>
        <w:t>DJ 161C Corneni – Pintic, km13+000 – km 17+718</w:t>
      </w:r>
      <w:bookmarkEnd w:id="3"/>
      <w:r w:rsidR="00745442" w:rsidRPr="00745442">
        <w:rPr>
          <w:rFonts w:ascii="Montserrat Light" w:hAnsi="Montserrat Light"/>
          <w:noProof/>
          <w:sz w:val="22"/>
          <w:szCs w:val="22"/>
          <w:lang w:val="ro-RO"/>
        </w:rPr>
        <w:t xml:space="preserve">” </w:t>
      </w:r>
      <w:r w:rsidR="001E22C2">
        <w:rPr>
          <w:rFonts w:ascii="Montserrat Light" w:hAnsi="Montserrat Light"/>
          <w:noProof/>
          <w:sz w:val="22"/>
          <w:szCs w:val="22"/>
          <w:lang w:val="ro-RO"/>
        </w:rPr>
        <w:t>, in compon</w:t>
      </w:r>
      <w:r w:rsidR="00821B0F">
        <w:rPr>
          <w:rFonts w:ascii="Montserrat Light" w:hAnsi="Montserrat Light"/>
          <w:noProof/>
          <w:sz w:val="22"/>
          <w:szCs w:val="22"/>
          <w:lang w:val="ro-RO"/>
        </w:rPr>
        <w:t>e</w:t>
      </w:r>
      <w:r w:rsidR="001E22C2">
        <w:rPr>
          <w:rFonts w:ascii="Montserrat Light" w:hAnsi="Montserrat Light"/>
          <w:noProof/>
          <w:sz w:val="22"/>
          <w:szCs w:val="22"/>
          <w:lang w:val="ro-RO"/>
        </w:rPr>
        <w:t>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4"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4"/>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5" w:name="_Hlk155260037"/>
      <w:r w:rsidR="00745442" w:rsidRPr="00745442">
        <w:rPr>
          <w:rFonts w:ascii="Montserrat Light" w:eastAsia="Calibri" w:hAnsi="Montserrat Light"/>
          <w:noProof/>
          <w:sz w:val="22"/>
          <w:szCs w:val="22"/>
          <w:lang w:val="ro-RO"/>
        </w:rPr>
        <w:t>Direcția Dezvoltare și Investiții</w:t>
      </w:r>
      <w:bookmarkEnd w:id="5"/>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3670F31F"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8C76EC">
        <w:rPr>
          <w:rFonts w:ascii="Montserrat Light" w:eastAsia="Times New Roman" w:hAnsi="Montserrat Light"/>
          <w:b/>
          <w:bCs/>
          <w:noProof/>
          <w:lang w:val="ro-RO" w:eastAsia="ro-RO"/>
        </w:rPr>
        <w:t xml:space="preserve">259 </w:t>
      </w:r>
      <w:r w:rsidRPr="00724AD8">
        <w:rPr>
          <w:rFonts w:ascii="Montserrat Light" w:eastAsia="Times New Roman" w:hAnsi="Montserrat Light"/>
          <w:b/>
          <w:bCs/>
          <w:noProof/>
          <w:lang w:val="ro-RO" w:eastAsia="ro-RO"/>
        </w:rPr>
        <w:t xml:space="preserve">din </w:t>
      </w:r>
      <w:r w:rsidR="008C76EC">
        <w:rPr>
          <w:rFonts w:ascii="Montserrat Light" w:eastAsia="Times New Roman" w:hAnsi="Montserrat Light"/>
          <w:b/>
          <w:bCs/>
          <w:noProof/>
          <w:lang w:val="ro-RO" w:eastAsia="ro-RO"/>
        </w:rPr>
        <w:t>18 iunie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2231E701"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8C76EC">
        <w:rPr>
          <w:rFonts w:ascii="Montserrat Light" w:hAnsi="Montserrat Light" w:cstheme="majorHAnsi"/>
          <w:b/>
          <w:bCs/>
          <w:iCs/>
          <w:noProof/>
          <w:shd w:val="clear" w:color="auto" w:fill="FFFFFF"/>
          <w:lang w:val="ro-RO"/>
        </w:rPr>
        <w:t xml:space="preserve"> 259</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5C2C1A49" w:rsid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3635BD" w:rsidRPr="003635BD">
        <w:rPr>
          <w:rFonts w:ascii="Montserrat Light" w:hAnsi="Montserrat Light" w:cstheme="majorHAnsi"/>
          <w:b/>
          <w:bCs/>
          <w:iCs/>
          <w:noProof/>
          <w:shd w:val="clear" w:color="auto" w:fill="FFFFFF"/>
          <w:lang w:val="ro-RO"/>
        </w:rPr>
        <w:t>Servicii de proiectare și asistență tehnică pentru realizarea documentațiilor necesare modernizării drumurilor județene DJ 161C Corneni – Pintic, km13+000 – km 17+718</w:t>
      </w:r>
      <w:r w:rsidR="00954DDF" w:rsidRPr="00954DDF">
        <w:rPr>
          <w:rFonts w:ascii="Montserrat Light" w:hAnsi="Montserrat Light" w:cstheme="majorHAnsi"/>
          <w:b/>
          <w:bCs/>
          <w:iCs/>
          <w:noProof/>
          <w:shd w:val="clear" w:color="auto" w:fill="FFFFFF"/>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0BC5011A"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5842ED19"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31AF090"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5E4DB0" w:rsidRPr="003635BD" w14:paraId="6A992343" w14:textId="77777777" w:rsidTr="00863BDE">
        <w:trPr>
          <w:trHeight w:val="1497"/>
          <w:jc w:val="center"/>
        </w:trPr>
        <w:tc>
          <w:tcPr>
            <w:tcW w:w="562" w:type="dxa"/>
            <w:shd w:val="clear" w:color="auto" w:fill="auto"/>
            <w:vAlign w:val="center"/>
          </w:tcPr>
          <w:p w14:paraId="3AB4E0D1"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eastAsia="Calibri" w:hAnsi="Montserrat Light" w:cs="Cambria"/>
              </w:rPr>
              <w:t>1</w:t>
            </w:r>
          </w:p>
        </w:tc>
        <w:tc>
          <w:tcPr>
            <w:tcW w:w="1615" w:type="dxa"/>
            <w:shd w:val="clear" w:color="auto" w:fill="auto"/>
            <w:vAlign w:val="center"/>
          </w:tcPr>
          <w:p w14:paraId="48219654"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p>
        </w:tc>
        <w:tc>
          <w:tcPr>
            <w:tcW w:w="1646" w:type="dxa"/>
            <w:shd w:val="clear" w:color="auto" w:fill="auto"/>
            <w:vAlign w:val="center"/>
          </w:tcPr>
          <w:p w14:paraId="4B90FDA4" w14:textId="55D44023" w:rsidR="005E4DB0" w:rsidRPr="005E4DB0" w:rsidRDefault="003635BD" w:rsidP="00DA2710">
            <w:pPr>
              <w:autoSpaceDE w:val="0"/>
              <w:autoSpaceDN w:val="0"/>
              <w:adjustRightInd w:val="0"/>
              <w:contextualSpacing/>
              <w:jc w:val="center"/>
              <w:rPr>
                <w:rFonts w:ascii="Montserrat Light" w:hAnsi="Montserrat Light"/>
                <w:noProof/>
                <w:lang w:val="ro-RO"/>
              </w:rPr>
            </w:pPr>
            <w:r w:rsidRPr="003635BD">
              <w:rPr>
                <w:rFonts w:ascii="Montserrat Light" w:hAnsi="Montserrat Light"/>
                <w:noProof/>
                <w:lang w:val="ro-RO"/>
              </w:rPr>
              <w:t>Gazdac Alexandru</w:t>
            </w:r>
          </w:p>
        </w:tc>
        <w:tc>
          <w:tcPr>
            <w:tcW w:w="1842" w:type="dxa"/>
            <w:shd w:val="clear" w:color="auto" w:fill="auto"/>
            <w:vAlign w:val="center"/>
          </w:tcPr>
          <w:p w14:paraId="145F505A" w14:textId="77777777" w:rsidR="005E4DB0" w:rsidRPr="00F63FA7" w:rsidRDefault="005E4DB0" w:rsidP="00DA271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279A4305" w14:textId="27C74714" w:rsidR="005E4DB0" w:rsidRPr="00F63FA7" w:rsidRDefault="0005223F" w:rsidP="00DA2710">
            <w:pPr>
              <w:autoSpaceDE w:val="0"/>
              <w:autoSpaceDN w:val="0"/>
              <w:adjustRightInd w:val="0"/>
              <w:contextualSpacing/>
              <w:jc w:val="center"/>
              <w:rPr>
                <w:rFonts w:ascii="Montserrat Light" w:hAnsi="Montserrat Light"/>
                <w:b/>
                <w:bCs/>
                <w:noProof/>
                <w:lang w:val="ro-RO"/>
              </w:rPr>
            </w:pPr>
            <w:r>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6409E4BD"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5E4DB0">
              <w:rPr>
                <w:rFonts w:ascii="Montserrat Light" w:eastAsia="Calibri" w:hAnsi="Montserrat Light" w:cs="Cambria"/>
                <w:lang w:val="pt-BR"/>
              </w:rPr>
              <w:t>Președinte cu drept de vot</w:t>
            </w:r>
          </w:p>
        </w:tc>
      </w:tr>
      <w:tr w:rsidR="005E4DB0" w:rsidRPr="003635BD" w14:paraId="1C0E244E" w14:textId="77777777" w:rsidTr="00863BDE">
        <w:trPr>
          <w:trHeight w:val="1547"/>
          <w:jc w:val="center"/>
        </w:trPr>
        <w:tc>
          <w:tcPr>
            <w:tcW w:w="562" w:type="dxa"/>
            <w:shd w:val="clear" w:color="auto" w:fill="auto"/>
            <w:vAlign w:val="center"/>
          </w:tcPr>
          <w:p w14:paraId="0FEAC42B" w14:textId="77777777" w:rsidR="005E4DB0" w:rsidRPr="00F63FA7" w:rsidRDefault="005E4DB0" w:rsidP="005E4DB0">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2</w:t>
            </w:r>
          </w:p>
        </w:tc>
        <w:tc>
          <w:tcPr>
            <w:tcW w:w="1615" w:type="dxa"/>
            <w:shd w:val="clear" w:color="auto" w:fill="auto"/>
            <w:vAlign w:val="center"/>
          </w:tcPr>
          <w:p w14:paraId="3C745EA4" w14:textId="77777777" w:rsidR="005E4DB0" w:rsidRPr="00F63FA7" w:rsidRDefault="005E4DB0" w:rsidP="005E4DB0">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575F9C2F" w14:textId="155BC38E" w:rsidR="005E4DB0" w:rsidRPr="005E4DB0" w:rsidRDefault="0005223F" w:rsidP="005E4DB0">
            <w:pPr>
              <w:autoSpaceDE w:val="0"/>
              <w:autoSpaceDN w:val="0"/>
              <w:adjustRightInd w:val="0"/>
              <w:contextualSpacing/>
              <w:jc w:val="center"/>
              <w:rPr>
                <w:rFonts w:ascii="Montserrat Light" w:hAnsi="Montserrat Light" w:cs="Helvetica"/>
                <w:lang w:val="pt-BR"/>
              </w:rPr>
            </w:pPr>
            <w:r>
              <w:rPr>
                <w:rFonts w:ascii="Montserrat Light" w:hAnsi="Montserrat Light" w:cs="Helvetica"/>
                <w:lang w:val="pt-BR"/>
              </w:rPr>
              <w:t>Paul Crina</w:t>
            </w:r>
            <w:r w:rsidR="005E4DB0">
              <w:rPr>
                <w:rFonts w:ascii="Montserrat Light" w:hAnsi="Montserrat Light"/>
                <w:noProof/>
                <w:lang w:val="ro-RO"/>
              </w:rPr>
              <w:t xml:space="preserve"> </w:t>
            </w:r>
          </w:p>
        </w:tc>
        <w:tc>
          <w:tcPr>
            <w:tcW w:w="1842" w:type="dxa"/>
            <w:shd w:val="clear" w:color="auto" w:fill="auto"/>
            <w:vAlign w:val="center"/>
          </w:tcPr>
          <w:p w14:paraId="09F7926A" w14:textId="1A2F90FC" w:rsidR="005E4DB0" w:rsidRDefault="005E4DB0" w:rsidP="005E4DB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79B8B017" w14:textId="17CF88D9" w:rsidR="005E4DB0" w:rsidRPr="005E4DB0" w:rsidRDefault="0005223F" w:rsidP="005E4DB0">
            <w:pPr>
              <w:autoSpaceDE w:val="0"/>
              <w:autoSpaceDN w:val="0"/>
              <w:adjustRightInd w:val="0"/>
              <w:contextualSpacing/>
              <w:jc w:val="center"/>
              <w:rPr>
                <w:rFonts w:ascii="Montserrat Light" w:eastAsia="Calibri" w:hAnsi="Montserrat Light"/>
                <w:lang w:val="pt-BR"/>
              </w:rPr>
            </w:pPr>
            <w:r w:rsidRPr="0005223F">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3D485C6A" w14:textId="77777777" w:rsidR="005E4DB0" w:rsidRPr="005E4DB0" w:rsidRDefault="005E4DB0" w:rsidP="005E4DB0">
            <w:pPr>
              <w:autoSpaceDE w:val="0"/>
              <w:autoSpaceDN w:val="0"/>
              <w:adjustRightInd w:val="0"/>
              <w:contextualSpacing/>
              <w:jc w:val="center"/>
              <w:rPr>
                <w:rFonts w:ascii="Montserrat Light" w:eastAsia="Calibri" w:hAnsi="Montserrat Light" w:cs="Cambria"/>
                <w:lang w:val="pt-BR"/>
              </w:rPr>
            </w:pPr>
            <w:r w:rsidRPr="005E4DB0">
              <w:rPr>
                <w:rFonts w:ascii="Montserrat Light" w:eastAsia="Calibri" w:hAnsi="Montserrat Light" w:cs="Cambria"/>
                <w:color w:val="000000"/>
                <w:lang w:val="pt-BR"/>
              </w:rPr>
              <w:t>Nominalizat în calitate de preşedinte de rezervă</w:t>
            </w:r>
          </w:p>
        </w:tc>
      </w:tr>
      <w:tr w:rsidR="0005223F" w:rsidRPr="00F63FA7" w14:paraId="1DBE79F0" w14:textId="77777777" w:rsidTr="00863BDE">
        <w:trPr>
          <w:trHeight w:val="1413"/>
          <w:jc w:val="center"/>
        </w:trPr>
        <w:tc>
          <w:tcPr>
            <w:tcW w:w="562" w:type="dxa"/>
            <w:shd w:val="clear" w:color="auto" w:fill="auto"/>
            <w:vAlign w:val="center"/>
          </w:tcPr>
          <w:p w14:paraId="659376FC" w14:textId="77777777" w:rsidR="0005223F" w:rsidRPr="00F63FA7" w:rsidRDefault="0005223F" w:rsidP="0005223F">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3</w:t>
            </w:r>
          </w:p>
        </w:tc>
        <w:tc>
          <w:tcPr>
            <w:tcW w:w="1615" w:type="dxa"/>
            <w:shd w:val="clear" w:color="auto" w:fill="auto"/>
            <w:vAlign w:val="center"/>
          </w:tcPr>
          <w:p w14:paraId="654899A8" w14:textId="77777777" w:rsidR="0005223F" w:rsidRPr="00F63FA7" w:rsidRDefault="0005223F" w:rsidP="0005223F">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2D3BA264" w14:textId="520F1300" w:rsidR="0005223F" w:rsidRPr="005E4DB0" w:rsidRDefault="0005223F" w:rsidP="0005223F">
            <w:pPr>
              <w:autoSpaceDE w:val="0"/>
              <w:autoSpaceDN w:val="0"/>
              <w:adjustRightInd w:val="0"/>
              <w:contextualSpacing/>
              <w:jc w:val="center"/>
              <w:rPr>
                <w:rFonts w:ascii="Montserrat Light" w:eastAsia="Calibri" w:hAnsi="Montserrat Light"/>
              </w:rPr>
            </w:pPr>
            <w:proofErr w:type="spellStart"/>
            <w:r>
              <w:rPr>
                <w:rFonts w:ascii="Montserrat Light" w:eastAsia="Calibri" w:hAnsi="Montserrat Light"/>
              </w:rPr>
              <w:t>Rosaca</w:t>
            </w:r>
            <w:proofErr w:type="spellEnd"/>
            <w:r>
              <w:rPr>
                <w:rFonts w:ascii="Montserrat Light" w:eastAsia="Calibri" w:hAnsi="Montserrat Light"/>
              </w:rPr>
              <w:t xml:space="preserve"> Tudor</w:t>
            </w:r>
          </w:p>
        </w:tc>
        <w:tc>
          <w:tcPr>
            <w:tcW w:w="1842" w:type="dxa"/>
            <w:shd w:val="clear" w:color="auto" w:fill="auto"/>
            <w:vAlign w:val="center"/>
          </w:tcPr>
          <w:p w14:paraId="63D1A06E" w14:textId="66DE2845" w:rsidR="0005223F" w:rsidRPr="00F63FA7" w:rsidRDefault="0005223F" w:rsidP="0005223F">
            <w:pPr>
              <w:autoSpaceDE w:val="0"/>
              <w:autoSpaceDN w:val="0"/>
              <w:adjustRightInd w:val="0"/>
              <w:ind w:left="-108" w:right="-108"/>
              <w:contextualSpacing/>
              <w:jc w:val="center"/>
              <w:rPr>
                <w:rFonts w:ascii="Montserrat Light" w:eastAsia="Calibri" w:hAnsi="Montserrat Light"/>
                <w:lang w:val="ro-RO"/>
              </w:rPr>
            </w:pPr>
            <w:r>
              <w:rPr>
                <w:rFonts w:ascii="Montserrat Light" w:eastAsia="Calibri" w:hAnsi="Montserrat Light"/>
                <w:lang w:val="ro-RO"/>
              </w:rPr>
              <w:t>c</w:t>
            </w:r>
            <w:r w:rsidRPr="00F63FA7">
              <w:rPr>
                <w:rFonts w:ascii="Montserrat Light" w:eastAsia="Calibri" w:hAnsi="Montserrat Light"/>
                <w:lang w:val="ro-RO"/>
              </w:rPr>
              <w:t xml:space="preserve">onsilier </w:t>
            </w:r>
          </w:p>
        </w:tc>
        <w:tc>
          <w:tcPr>
            <w:tcW w:w="2902" w:type="dxa"/>
            <w:shd w:val="clear" w:color="auto" w:fill="auto"/>
            <w:vAlign w:val="center"/>
          </w:tcPr>
          <w:p w14:paraId="7C048E73" w14:textId="0A90B285" w:rsidR="0005223F" w:rsidRPr="005E4DB0" w:rsidRDefault="0005223F" w:rsidP="0005223F">
            <w:pPr>
              <w:autoSpaceDE w:val="0"/>
              <w:autoSpaceDN w:val="0"/>
              <w:adjustRightInd w:val="0"/>
              <w:contextualSpacing/>
              <w:jc w:val="center"/>
              <w:rPr>
                <w:rFonts w:ascii="Montserrat Light" w:eastAsia="Calibri" w:hAnsi="Montserrat Light"/>
                <w:lang w:val="pt-BR"/>
              </w:rPr>
            </w:pPr>
            <w:r>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55D9C098" w14:textId="77777777" w:rsidR="0005223F" w:rsidRPr="00F63FA7" w:rsidRDefault="0005223F" w:rsidP="0005223F">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w:t>
            </w:r>
          </w:p>
        </w:tc>
      </w:tr>
      <w:tr w:rsidR="0005223F" w:rsidRPr="003635BD" w14:paraId="01EE5121" w14:textId="77777777" w:rsidTr="00863BDE">
        <w:trPr>
          <w:trHeight w:val="1674"/>
          <w:jc w:val="center"/>
        </w:trPr>
        <w:tc>
          <w:tcPr>
            <w:tcW w:w="562" w:type="dxa"/>
            <w:shd w:val="clear" w:color="auto" w:fill="auto"/>
            <w:vAlign w:val="center"/>
          </w:tcPr>
          <w:p w14:paraId="6ADDEE9A" w14:textId="78A17E70" w:rsidR="0005223F" w:rsidRPr="00F63FA7" w:rsidRDefault="0005223F" w:rsidP="0005223F">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4</w:t>
            </w:r>
          </w:p>
        </w:tc>
        <w:tc>
          <w:tcPr>
            <w:tcW w:w="1615" w:type="dxa"/>
            <w:shd w:val="clear" w:color="auto" w:fill="auto"/>
            <w:vAlign w:val="center"/>
          </w:tcPr>
          <w:p w14:paraId="5F178460" w14:textId="76F785F2" w:rsidR="0005223F" w:rsidRPr="00F63FA7" w:rsidRDefault="0005223F" w:rsidP="0005223F">
            <w:pPr>
              <w:autoSpaceDE w:val="0"/>
              <w:autoSpaceDN w:val="0"/>
              <w:adjustRightInd w:val="0"/>
              <w:contextualSpacing/>
              <w:jc w:val="center"/>
              <w:rPr>
                <w:rFonts w:ascii="Montserrat Light" w:eastAsia="Calibri" w:hAnsi="Montserrat Light" w:cs="Cambria"/>
              </w:rPr>
            </w:pPr>
            <w:proofErr w:type="spellStart"/>
            <w:r>
              <w:rPr>
                <w:rFonts w:ascii="Montserrat Light" w:eastAsia="Calibri" w:hAnsi="Montserrat Light" w:cs="Cambria"/>
              </w:rPr>
              <w:t>Membru</w:t>
            </w:r>
            <w:proofErr w:type="spellEnd"/>
            <w:r>
              <w:rPr>
                <w:rFonts w:ascii="Montserrat Light" w:eastAsia="Calibri" w:hAnsi="Montserrat Light" w:cs="Cambria"/>
              </w:rPr>
              <w:t xml:space="preserve"> </w:t>
            </w:r>
          </w:p>
        </w:tc>
        <w:tc>
          <w:tcPr>
            <w:tcW w:w="1646" w:type="dxa"/>
            <w:shd w:val="clear" w:color="auto" w:fill="auto"/>
            <w:vAlign w:val="center"/>
          </w:tcPr>
          <w:p w14:paraId="243E4F96" w14:textId="4852D74A" w:rsidR="0005223F" w:rsidRPr="005E4DB0" w:rsidRDefault="0005223F" w:rsidP="0005223F">
            <w:pPr>
              <w:autoSpaceDE w:val="0"/>
              <w:autoSpaceDN w:val="0"/>
              <w:adjustRightInd w:val="0"/>
              <w:contextualSpacing/>
              <w:jc w:val="center"/>
              <w:rPr>
                <w:rFonts w:ascii="Montserrat Light" w:eastAsia="Calibri" w:hAnsi="Montserrat Light"/>
              </w:rPr>
            </w:pPr>
            <w:r>
              <w:rPr>
                <w:rFonts w:ascii="Montserrat Light" w:hAnsi="Montserrat Light"/>
                <w:noProof/>
                <w:lang w:val="ro-RO"/>
              </w:rPr>
              <w:t>Fati Paul</w:t>
            </w:r>
          </w:p>
        </w:tc>
        <w:tc>
          <w:tcPr>
            <w:tcW w:w="1842" w:type="dxa"/>
            <w:shd w:val="clear" w:color="auto" w:fill="auto"/>
            <w:vAlign w:val="center"/>
          </w:tcPr>
          <w:p w14:paraId="057FF8E0" w14:textId="23C22596" w:rsidR="0005223F" w:rsidRDefault="0005223F" w:rsidP="0005223F">
            <w:pPr>
              <w:autoSpaceDE w:val="0"/>
              <w:autoSpaceDN w:val="0"/>
              <w:adjustRightInd w:val="0"/>
              <w:ind w:left="-108" w:right="-108"/>
              <w:contextualSpacing/>
              <w:jc w:val="center"/>
              <w:rPr>
                <w:rFonts w:ascii="Montserrat Light" w:eastAsia="Calibri" w:hAnsi="Montserrat Light"/>
                <w:lang w:val="ro-RO"/>
              </w:rPr>
            </w:pPr>
            <w:r>
              <w:rPr>
                <w:rFonts w:ascii="Montserrat Light" w:hAnsi="Montserrat Light"/>
                <w:noProof/>
                <w:lang w:val="ro-RO"/>
              </w:rPr>
              <w:t>Consilier</w:t>
            </w:r>
          </w:p>
        </w:tc>
        <w:tc>
          <w:tcPr>
            <w:tcW w:w="2902" w:type="dxa"/>
            <w:shd w:val="clear" w:color="auto" w:fill="auto"/>
            <w:vAlign w:val="center"/>
          </w:tcPr>
          <w:p w14:paraId="197B5283" w14:textId="3B2819F6" w:rsidR="0005223F" w:rsidRPr="00F63FA7" w:rsidRDefault="0005223F" w:rsidP="0005223F">
            <w:pPr>
              <w:autoSpaceDE w:val="0"/>
              <w:autoSpaceDN w:val="0"/>
              <w:adjustRightInd w:val="0"/>
              <w:contextualSpacing/>
              <w:jc w:val="center"/>
              <w:rPr>
                <w:rFonts w:ascii="Montserrat Light" w:eastAsia="Calibri" w:hAnsi="Montserrat Light"/>
                <w:lang w:val="ro-RO"/>
              </w:rPr>
            </w:pPr>
            <w:r w:rsidRPr="0005223F">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2B193AB7" w14:textId="77777777" w:rsidR="0005223F" w:rsidRPr="005E4DB0" w:rsidRDefault="0005223F" w:rsidP="0005223F">
            <w:pPr>
              <w:autoSpaceDE w:val="0"/>
              <w:autoSpaceDN w:val="0"/>
              <w:adjustRightInd w:val="0"/>
              <w:contextualSpacing/>
              <w:jc w:val="center"/>
              <w:rPr>
                <w:rFonts w:ascii="Montserrat Light" w:eastAsia="Calibri" w:hAnsi="Montserrat Light" w:cs="Cambria"/>
                <w:lang w:val="pt-BR"/>
              </w:rPr>
            </w:pPr>
          </w:p>
        </w:tc>
      </w:tr>
      <w:tr w:rsidR="0005223F" w:rsidRPr="0005223F" w14:paraId="40624994" w14:textId="77777777" w:rsidTr="00863BDE">
        <w:trPr>
          <w:trHeight w:val="1415"/>
          <w:jc w:val="center"/>
        </w:trPr>
        <w:tc>
          <w:tcPr>
            <w:tcW w:w="562" w:type="dxa"/>
            <w:shd w:val="clear" w:color="auto" w:fill="auto"/>
            <w:vAlign w:val="center"/>
          </w:tcPr>
          <w:p w14:paraId="2362606D" w14:textId="5F9FBF63" w:rsidR="0005223F" w:rsidRDefault="0005223F" w:rsidP="0005223F">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5</w:t>
            </w:r>
          </w:p>
        </w:tc>
        <w:tc>
          <w:tcPr>
            <w:tcW w:w="1615" w:type="dxa"/>
            <w:shd w:val="clear" w:color="auto" w:fill="auto"/>
            <w:vAlign w:val="center"/>
          </w:tcPr>
          <w:p w14:paraId="1019EEB2" w14:textId="573A69BE" w:rsidR="0005223F" w:rsidRDefault="0005223F" w:rsidP="0005223F">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w:t>
            </w:r>
          </w:p>
        </w:tc>
        <w:tc>
          <w:tcPr>
            <w:tcW w:w="1646" w:type="dxa"/>
            <w:shd w:val="clear" w:color="auto" w:fill="auto"/>
            <w:vAlign w:val="center"/>
          </w:tcPr>
          <w:p w14:paraId="4DE6E5E0" w14:textId="1784A854" w:rsidR="0005223F" w:rsidRDefault="0005223F" w:rsidP="0005223F">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Dârlea Carmen</w:t>
            </w:r>
          </w:p>
        </w:tc>
        <w:tc>
          <w:tcPr>
            <w:tcW w:w="1842" w:type="dxa"/>
            <w:shd w:val="clear" w:color="auto" w:fill="auto"/>
            <w:vAlign w:val="center"/>
          </w:tcPr>
          <w:p w14:paraId="2E0D9998" w14:textId="08407973" w:rsidR="0005223F" w:rsidRPr="00F63FA7" w:rsidRDefault="0005223F" w:rsidP="0005223F">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shd w:val="clear" w:color="auto" w:fill="auto"/>
            <w:vAlign w:val="center"/>
          </w:tcPr>
          <w:p w14:paraId="5ACA202D" w14:textId="539CE912" w:rsidR="0005223F" w:rsidRPr="0005223F" w:rsidRDefault="0005223F" w:rsidP="0005223F">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174154E3" w14:textId="77777777" w:rsidR="0005223F" w:rsidRPr="0005223F" w:rsidRDefault="0005223F" w:rsidP="0005223F">
            <w:pPr>
              <w:autoSpaceDE w:val="0"/>
              <w:autoSpaceDN w:val="0"/>
              <w:adjustRightInd w:val="0"/>
              <w:contextualSpacing/>
              <w:jc w:val="center"/>
              <w:rPr>
                <w:rFonts w:ascii="Montserrat Light" w:eastAsia="Calibri" w:hAnsi="Montserrat Light" w:cs="Cambria"/>
                <w:lang w:val="pt-BR"/>
              </w:rPr>
            </w:pPr>
          </w:p>
        </w:tc>
      </w:tr>
      <w:tr w:rsidR="0005223F" w:rsidRPr="00F63FA7" w14:paraId="5156071B" w14:textId="77777777" w:rsidTr="00DA2710">
        <w:trPr>
          <w:trHeight w:val="686"/>
          <w:jc w:val="center"/>
        </w:trPr>
        <w:tc>
          <w:tcPr>
            <w:tcW w:w="562" w:type="dxa"/>
            <w:shd w:val="clear" w:color="auto" w:fill="auto"/>
            <w:vAlign w:val="center"/>
          </w:tcPr>
          <w:p w14:paraId="2F58A330" w14:textId="6B1B6AE9" w:rsidR="0005223F" w:rsidRPr="00F63FA7" w:rsidRDefault="0005223F" w:rsidP="0005223F">
            <w:pPr>
              <w:autoSpaceDE w:val="0"/>
              <w:autoSpaceDN w:val="0"/>
              <w:adjustRightInd w:val="0"/>
              <w:contextualSpacing/>
              <w:jc w:val="center"/>
              <w:rPr>
                <w:rFonts w:ascii="Montserrat Light" w:hAnsi="Montserrat Light"/>
                <w:noProof/>
                <w:lang w:val="ro-RO"/>
              </w:rPr>
            </w:pPr>
            <w:bookmarkStart w:id="6" w:name="_Hlk23319819"/>
            <w:r>
              <w:rPr>
                <w:rFonts w:ascii="Montserrat Light" w:hAnsi="Montserrat Light"/>
                <w:noProof/>
                <w:lang w:val="ro-RO"/>
              </w:rPr>
              <w:t>6</w:t>
            </w:r>
          </w:p>
        </w:tc>
        <w:tc>
          <w:tcPr>
            <w:tcW w:w="1615" w:type="dxa"/>
            <w:shd w:val="clear" w:color="auto" w:fill="auto"/>
            <w:vAlign w:val="center"/>
          </w:tcPr>
          <w:p w14:paraId="76792859" w14:textId="77777777" w:rsidR="0005223F" w:rsidRPr="00F63FA7" w:rsidRDefault="0005223F" w:rsidP="0005223F">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210DDC37" w14:textId="3355C574" w:rsidR="0005223F" w:rsidRPr="00F63FA7" w:rsidRDefault="0005223F" w:rsidP="0005223F">
            <w:pPr>
              <w:autoSpaceDE w:val="0"/>
              <w:autoSpaceDN w:val="0"/>
              <w:adjustRightInd w:val="0"/>
              <w:contextualSpacing/>
              <w:jc w:val="center"/>
              <w:rPr>
                <w:rFonts w:ascii="Montserrat Light" w:hAnsi="Montserrat Light"/>
                <w:noProof/>
                <w:lang w:val="ro-RO"/>
              </w:rPr>
            </w:pPr>
            <w:proofErr w:type="spellStart"/>
            <w:r>
              <w:rPr>
                <w:rFonts w:ascii="Montserrat Light" w:hAnsi="Montserrat Light" w:cs="Helvetica"/>
              </w:rPr>
              <w:t>Spătar</w:t>
            </w:r>
            <w:proofErr w:type="spellEnd"/>
            <w:r>
              <w:rPr>
                <w:rFonts w:ascii="Montserrat Light" w:hAnsi="Montserrat Light" w:cs="Helvetica"/>
              </w:rPr>
              <w:t xml:space="preserve"> Constantin</w:t>
            </w:r>
          </w:p>
        </w:tc>
        <w:tc>
          <w:tcPr>
            <w:tcW w:w="1842" w:type="dxa"/>
            <w:shd w:val="clear" w:color="auto" w:fill="auto"/>
            <w:vAlign w:val="center"/>
          </w:tcPr>
          <w:p w14:paraId="2BC5E374" w14:textId="48DE063F" w:rsidR="0005223F" w:rsidRPr="00F63FA7" w:rsidRDefault="0005223F" w:rsidP="0005223F">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61B398D4" w14:textId="1A577912" w:rsidR="0005223F" w:rsidRPr="00F63FA7" w:rsidRDefault="0005223F" w:rsidP="0005223F">
            <w:pPr>
              <w:autoSpaceDE w:val="0"/>
              <w:autoSpaceDN w:val="0"/>
              <w:adjustRightInd w:val="0"/>
              <w:contextualSpacing/>
              <w:jc w:val="center"/>
              <w:rPr>
                <w:rFonts w:ascii="Montserrat Light" w:hAnsi="Montserrat Light"/>
                <w:noProof/>
                <w:lang w:val="ro-RO"/>
              </w:rPr>
            </w:pPr>
            <w:r w:rsidRPr="0005223F">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41FAE5FE" w14:textId="77777777" w:rsidR="0005223F" w:rsidRPr="00F63FA7" w:rsidRDefault="0005223F" w:rsidP="0005223F">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r w:rsidR="0005223F" w:rsidRPr="00F63FA7" w14:paraId="6C5661B4" w14:textId="77777777" w:rsidTr="00DA2710">
        <w:trPr>
          <w:trHeight w:val="686"/>
          <w:jc w:val="center"/>
        </w:trPr>
        <w:tc>
          <w:tcPr>
            <w:tcW w:w="562" w:type="dxa"/>
            <w:shd w:val="clear" w:color="auto" w:fill="auto"/>
            <w:vAlign w:val="center"/>
          </w:tcPr>
          <w:p w14:paraId="6C5B7BBC" w14:textId="0486CDAB" w:rsidR="0005223F" w:rsidRPr="00F63FA7" w:rsidRDefault="0005223F" w:rsidP="0005223F">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7</w:t>
            </w:r>
          </w:p>
        </w:tc>
        <w:tc>
          <w:tcPr>
            <w:tcW w:w="1615" w:type="dxa"/>
            <w:shd w:val="clear" w:color="auto" w:fill="auto"/>
            <w:vAlign w:val="center"/>
          </w:tcPr>
          <w:p w14:paraId="0CA6CED7" w14:textId="77777777" w:rsidR="0005223F" w:rsidRPr="00F63FA7" w:rsidRDefault="0005223F" w:rsidP="0005223F">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7659C52D" w14:textId="159327F8" w:rsidR="0005223F" w:rsidRPr="00F63FA7" w:rsidRDefault="0005223F" w:rsidP="0005223F">
            <w:pPr>
              <w:autoSpaceDE w:val="0"/>
              <w:autoSpaceDN w:val="0"/>
              <w:adjustRightInd w:val="0"/>
              <w:contextualSpacing/>
              <w:jc w:val="center"/>
              <w:rPr>
                <w:rFonts w:ascii="Montserrat Light" w:eastAsia="Calibri" w:hAnsi="Montserrat Light"/>
              </w:rPr>
            </w:pPr>
            <w:proofErr w:type="spellStart"/>
            <w:r>
              <w:rPr>
                <w:rFonts w:ascii="Montserrat Light" w:eastAsia="Calibri" w:hAnsi="Montserrat Light"/>
              </w:rPr>
              <w:t>Săveanu</w:t>
            </w:r>
            <w:proofErr w:type="spellEnd"/>
            <w:r>
              <w:rPr>
                <w:rFonts w:ascii="Montserrat Light" w:eastAsia="Calibri" w:hAnsi="Montserrat Light"/>
              </w:rPr>
              <w:t xml:space="preserve"> Lucian</w:t>
            </w:r>
          </w:p>
        </w:tc>
        <w:tc>
          <w:tcPr>
            <w:tcW w:w="1842" w:type="dxa"/>
            <w:shd w:val="clear" w:color="auto" w:fill="auto"/>
            <w:vAlign w:val="center"/>
          </w:tcPr>
          <w:p w14:paraId="6CEE3C97" w14:textId="08A280AC" w:rsidR="0005223F" w:rsidRPr="00F63FA7" w:rsidRDefault="0005223F" w:rsidP="0005223F">
            <w:pPr>
              <w:autoSpaceDE w:val="0"/>
              <w:autoSpaceDN w:val="0"/>
              <w:adjustRightInd w:val="0"/>
              <w:contextualSpacing/>
              <w:jc w:val="center"/>
              <w:rPr>
                <w:rFonts w:ascii="Montserrat Light" w:eastAsia="Calibri" w:hAnsi="Montserrat Light"/>
                <w:bCs/>
                <w:lang w:val="ro-RO"/>
              </w:rPr>
            </w:pPr>
            <w:r w:rsidRPr="00F63FA7">
              <w:rPr>
                <w:rFonts w:ascii="Montserrat Light" w:eastAsia="Calibri" w:hAnsi="Montserrat Light"/>
                <w:lang w:val="ro-RO"/>
              </w:rPr>
              <w:t xml:space="preserve">Consilier </w:t>
            </w:r>
          </w:p>
        </w:tc>
        <w:tc>
          <w:tcPr>
            <w:tcW w:w="2902" w:type="dxa"/>
            <w:shd w:val="clear" w:color="auto" w:fill="auto"/>
            <w:vAlign w:val="center"/>
          </w:tcPr>
          <w:p w14:paraId="0A9766C4" w14:textId="26368ED8" w:rsidR="0005223F" w:rsidRPr="005E4DB0" w:rsidRDefault="0005223F" w:rsidP="0005223F">
            <w:pPr>
              <w:autoSpaceDE w:val="0"/>
              <w:autoSpaceDN w:val="0"/>
              <w:adjustRightInd w:val="0"/>
              <w:contextualSpacing/>
              <w:jc w:val="center"/>
              <w:rPr>
                <w:rFonts w:ascii="Montserrat Light" w:eastAsia="Calibri" w:hAnsi="Montserrat Light"/>
                <w:lang w:val="pt-BR"/>
              </w:rPr>
            </w:pPr>
            <w:r w:rsidRPr="0005223F">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6D4E350F" w14:textId="77777777" w:rsidR="0005223F" w:rsidRPr="00F63FA7" w:rsidRDefault="0005223F" w:rsidP="0005223F">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bookmarkEnd w:id="6"/>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B9AE6FA"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44FC6D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0B60414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72BE273"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F11AE0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23EEDE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E1A9E7D" w14:textId="77777777" w:rsidR="005E4DB0" w:rsidRPr="0021097B" w:rsidRDefault="005E4DB0" w:rsidP="0021097B">
      <w:pPr>
        <w:spacing w:line="240" w:lineRule="auto"/>
        <w:jc w:val="center"/>
        <w:rPr>
          <w:rFonts w:ascii="Montserrat Light" w:hAnsi="Montserrat Light" w:cstheme="majorHAnsi"/>
          <w:b/>
          <w:bCs/>
          <w:iCs/>
          <w:noProof/>
          <w:shd w:val="clear" w:color="auto" w:fill="FFFFFF"/>
          <w:lang w:val="ro-RO"/>
        </w:rPr>
      </w:pP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3DEE" w14:textId="77777777" w:rsidR="00585AEC" w:rsidRDefault="00585AEC">
      <w:pPr>
        <w:spacing w:line="240" w:lineRule="auto"/>
      </w:pPr>
      <w:r>
        <w:separator/>
      </w:r>
    </w:p>
  </w:endnote>
  <w:endnote w:type="continuationSeparator" w:id="0">
    <w:p w14:paraId="4BBBF34B" w14:textId="77777777" w:rsidR="00585AEC" w:rsidRDefault="00585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EFE29" w14:textId="77777777" w:rsidR="00585AEC" w:rsidRDefault="00585AEC">
      <w:pPr>
        <w:spacing w:line="240" w:lineRule="auto"/>
      </w:pPr>
      <w:r>
        <w:separator/>
      </w:r>
    </w:p>
  </w:footnote>
  <w:footnote w:type="continuationSeparator" w:id="0">
    <w:p w14:paraId="745A56CF" w14:textId="77777777" w:rsidR="00585AEC" w:rsidRDefault="00585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23F"/>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22C2"/>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35801"/>
    <w:rsid w:val="003554BE"/>
    <w:rsid w:val="00356FB5"/>
    <w:rsid w:val="003635BD"/>
    <w:rsid w:val="00365B89"/>
    <w:rsid w:val="003765F1"/>
    <w:rsid w:val="003900EB"/>
    <w:rsid w:val="00390709"/>
    <w:rsid w:val="00394005"/>
    <w:rsid w:val="003B2C93"/>
    <w:rsid w:val="003B74A7"/>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6618C"/>
    <w:rsid w:val="005662DA"/>
    <w:rsid w:val="00567263"/>
    <w:rsid w:val="005852D1"/>
    <w:rsid w:val="00585AEC"/>
    <w:rsid w:val="00586692"/>
    <w:rsid w:val="005912A7"/>
    <w:rsid w:val="00594829"/>
    <w:rsid w:val="005C119E"/>
    <w:rsid w:val="005C13DA"/>
    <w:rsid w:val="005E1385"/>
    <w:rsid w:val="005E4DB0"/>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1B0F"/>
    <w:rsid w:val="00827215"/>
    <w:rsid w:val="008368B0"/>
    <w:rsid w:val="0084461F"/>
    <w:rsid w:val="00845773"/>
    <w:rsid w:val="00852EAE"/>
    <w:rsid w:val="0085587C"/>
    <w:rsid w:val="008632E4"/>
    <w:rsid w:val="00863BDE"/>
    <w:rsid w:val="00866A1A"/>
    <w:rsid w:val="00882EBB"/>
    <w:rsid w:val="00886006"/>
    <w:rsid w:val="00893491"/>
    <w:rsid w:val="00893D97"/>
    <w:rsid w:val="008A3281"/>
    <w:rsid w:val="008A621C"/>
    <w:rsid w:val="008B3931"/>
    <w:rsid w:val="008C0B63"/>
    <w:rsid w:val="008C0DD9"/>
    <w:rsid w:val="008C1CE4"/>
    <w:rsid w:val="008C76EC"/>
    <w:rsid w:val="008E6904"/>
    <w:rsid w:val="008F1219"/>
    <w:rsid w:val="008F5F96"/>
    <w:rsid w:val="00901585"/>
    <w:rsid w:val="009171E7"/>
    <w:rsid w:val="00924F50"/>
    <w:rsid w:val="00926BD5"/>
    <w:rsid w:val="00930CA1"/>
    <w:rsid w:val="009310E5"/>
    <w:rsid w:val="00932137"/>
    <w:rsid w:val="00932264"/>
    <w:rsid w:val="00940479"/>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E007E"/>
    <w:rsid w:val="009F5B0F"/>
    <w:rsid w:val="009F7F50"/>
    <w:rsid w:val="00A07EF5"/>
    <w:rsid w:val="00A13E52"/>
    <w:rsid w:val="00A14C8C"/>
    <w:rsid w:val="00A15755"/>
    <w:rsid w:val="00A17893"/>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D076C"/>
    <w:rsid w:val="00AD280C"/>
    <w:rsid w:val="00AD6D1B"/>
    <w:rsid w:val="00AE3037"/>
    <w:rsid w:val="00AF3481"/>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886</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cp:revision>
  <cp:lastPrinted>2024-06-17T09:52:00Z</cp:lastPrinted>
  <dcterms:created xsi:type="dcterms:W3CDTF">2024-04-11T11:01:00Z</dcterms:created>
  <dcterms:modified xsi:type="dcterms:W3CDTF">2024-06-18T10:42:00Z</dcterms:modified>
</cp:coreProperties>
</file>