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5B1E9797" w14:textId="60A34847" w:rsidR="002724D3" w:rsidRPr="00724AD8"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3F75200C" w14:textId="54220C51" w:rsidR="002724D3" w:rsidRPr="00724AD8" w:rsidRDefault="0024395E"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r w:rsidRPr="0024395E">
        <w:rPr>
          <w:rFonts w:ascii="Montserrat Light" w:eastAsia="Times New Roman" w:hAnsi="Montserrat Light"/>
          <w:b/>
          <w:iCs/>
          <w:noProof/>
          <w:lang w:val="ro-RO" w:eastAsia="ro-RO"/>
        </w:rPr>
        <w:t xml:space="preserve">constituirea Comisiei de evaluare a ofertelor pentru atribuirea contractului având ca obiect </w:t>
      </w:r>
      <w:bookmarkStart w:id="0" w:name="_Hlk155266141"/>
      <w:r w:rsidRPr="0024395E">
        <w:rPr>
          <w:rFonts w:ascii="Montserrat Light" w:eastAsia="Times New Roman" w:hAnsi="Montserrat Light"/>
          <w:b/>
          <w:iCs/>
          <w:noProof/>
          <w:lang w:val="ro-RO" w:eastAsia="ro-RO"/>
        </w:rPr>
        <w:t>achiziție dotări necesare desfășurării activității spitalului – MOBILIER-Lot V în cadrul proiectului ”Extinderea și modernizarea Ambulatoriului Clinic de Psihiatrie Pediatrică din cadrul Spitalului Clinic de Urgență pentru Copii Cluj”</w:t>
      </w: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090A18B9" w:rsidR="004D0B94" w:rsidRPr="00193457" w:rsidRDefault="002724D3" w:rsidP="00193457">
      <w:pPr>
        <w:widowControl w:val="0"/>
        <w:autoSpaceDE w:val="0"/>
        <w:autoSpaceDN w:val="0"/>
        <w:adjustRightInd w:val="0"/>
        <w:spacing w:before="240" w:after="240" w:line="240" w:lineRule="auto"/>
        <w:jc w:val="both"/>
        <w:rPr>
          <w:rFonts w:ascii="Montserrat Light" w:hAnsi="Montserrat Light"/>
          <w:noProof/>
          <w:lang w:val="ro-RO"/>
        </w:rPr>
      </w:pPr>
      <w:r w:rsidRPr="00724AD8">
        <w:rPr>
          <w:rFonts w:ascii="Montserrat Light" w:eastAsia="Times New Roman" w:hAnsi="Montserrat Light"/>
          <w:noProof/>
          <w:lang w:val="ro-RO" w:eastAsia="ro-RO"/>
        </w:rPr>
        <w:t>Având în vedere conținutul instrumentului de motivare și prezentare a dispoziției, respectiv Referatul de aprobare nr.</w:t>
      </w:r>
      <w:r w:rsidR="00E44A2D" w:rsidRPr="00724AD8">
        <w:rPr>
          <w:rFonts w:ascii="Montserrat Light" w:eastAsia="Times New Roman" w:hAnsi="Montserrat Light"/>
          <w:noProof/>
          <w:lang w:val="ro-RO" w:eastAsia="ro-RO"/>
        </w:rPr>
        <w:t xml:space="preserve"> </w:t>
      </w:r>
      <w:bookmarkStart w:id="1" w:name="_Hlk154152986"/>
      <w:bookmarkStart w:id="2" w:name="_Hlk155265215"/>
      <w:r w:rsidR="003554BE">
        <w:rPr>
          <w:rFonts w:ascii="Montserrat Light" w:eastAsia="Times New Roman" w:hAnsi="Montserrat Light"/>
          <w:noProof/>
          <w:lang w:val="ro-RO" w:eastAsia="ro-RO"/>
        </w:rPr>
        <w:t>168</w:t>
      </w:r>
      <w:r w:rsidR="00E44A2D" w:rsidRPr="00724AD8">
        <w:rPr>
          <w:rFonts w:ascii="Montserrat Light" w:eastAsia="Times New Roman" w:hAnsi="Montserrat Light"/>
          <w:noProof/>
          <w:lang w:val="ro-RO" w:eastAsia="ro-RO"/>
        </w:rPr>
        <w:t>/</w:t>
      </w:r>
      <w:bookmarkEnd w:id="1"/>
      <w:r w:rsidR="002C04A5">
        <w:rPr>
          <w:rFonts w:ascii="Montserrat Light" w:eastAsia="Times New Roman" w:hAnsi="Montserrat Light"/>
          <w:noProof/>
          <w:lang w:val="ro-RO" w:eastAsia="ro-RO"/>
        </w:rPr>
        <w:t>0</w:t>
      </w:r>
      <w:r w:rsidR="003554BE">
        <w:rPr>
          <w:rFonts w:ascii="Montserrat Light" w:eastAsia="Times New Roman" w:hAnsi="Montserrat Light"/>
          <w:noProof/>
          <w:lang w:val="ro-RO" w:eastAsia="ro-RO"/>
        </w:rPr>
        <w:t>3</w:t>
      </w:r>
      <w:r w:rsidR="002C04A5">
        <w:rPr>
          <w:rFonts w:ascii="Montserrat Light" w:eastAsia="Times New Roman" w:hAnsi="Montserrat Light"/>
          <w:noProof/>
          <w:lang w:val="ro-RO" w:eastAsia="ro-RO"/>
        </w:rPr>
        <w:t>.0</w:t>
      </w:r>
      <w:r w:rsidR="003554BE">
        <w:rPr>
          <w:rFonts w:ascii="Montserrat Light" w:eastAsia="Times New Roman" w:hAnsi="Montserrat Light"/>
          <w:noProof/>
          <w:lang w:val="ro-RO" w:eastAsia="ro-RO"/>
        </w:rPr>
        <w:t>1</w:t>
      </w:r>
      <w:r w:rsidR="002C04A5">
        <w:rPr>
          <w:rFonts w:ascii="Montserrat Light" w:eastAsia="Times New Roman" w:hAnsi="Montserrat Light"/>
          <w:noProof/>
          <w:lang w:val="ro-RO" w:eastAsia="ro-RO"/>
        </w:rPr>
        <w:t>.2024</w:t>
      </w:r>
      <w:bookmarkStart w:id="3" w:name="_Hlk155259473"/>
      <w:bookmarkEnd w:id="2"/>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3"/>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E7E72E5" w14:textId="77777777" w:rsidR="000B586F" w:rsidRPr="000B586F" w:rsidRDefault="000B586F" w:rsidP="000B586F">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740A8EF5" w14:textId="77777777" w:rsidR="000B586F" w:rsidRPr="000B586F" w:rsidRDefault="000B586F" w:rsidP="000B586F">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41B500D" w14:textId="77777777" w:rsidR="000B586F" w:rsidRPr="000B586F" w:rsidRDefault="000B586F" w:rsidP="000B586F">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36DAF716" w14:textId="0962C919" w:rsidR="000B586F" w:rsidRPr="000B586F" w:rsidRDefault="000B586F" w:rsidP="000B586F">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3E29C40C" w14:textId="77777777" w:rsidR="00D671BA" w:rsidRPr="00724AD8" w:rsidRDefault="00D671BA" w:rsidP="00EF5C01">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3B884B87" w14:textId="77777777" w:rsidR="00193457" w:rsidRPr="00193457" w:rsidRDefault="00193457" w:rsidP="00193457">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6C64472" w14:textId="77777777" w:rsidR="00193457" w:rsidRPr="00193457" w:rsidRDefault="00193457" w:rsidP="00193457">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2F3CB16A" w14:textId="77777777" w:rsidR="00193457" w:rsidRPr="00193457" w:rsidRDefault="00193457" w:rsidP="00193457">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a)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466F0DD8" w14:textId="77777777" w:rsidR="00193457" w:rsidRPr="00193457" w:rsidRDefault="00193457" w:rsidP="00193457">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5E0452D9" w:rsidR="00193457" w:rsidRPr="00193457" w:rsidRDefault="00193457" w:rsidP="00193457">
      <w:pPr>
        <w:pStyle w:val="Indentcorptext"/>
        <w:spacing w:after="240"/>
        <w:ind w:firstLine="0"/>
        <w:rPr>
          <w:rFonts w:ascii="Montserrat Light" w:hAnsi="Montserrat Light"/>
          <w:noProof/>
          <w:sz w:val="22"/>
          <w:szCs w:val="22"/>
          <w:lang w:val="ro-RO"/>
        </w:rPr>
      </w:pPr>
      <w:bookmarkStart w:id="4" w:name="_Hlk144631457"/>
      <w:r w:rsidRPr="00193457">
        <w:rPr>
          <w:rFonts w:ascii="Montserrat Light" w:hAnsi="Montserrat Light"/>
          <w:noProof/>
          <w:sz w:val="22"/>
          <w:szCs w:val="22"/>
          <w:lang w:val="ro-RO"/>
        </w:rPr>
        <w:t>Art. 1. (1)  Se constituie Comisia de evaluare a ofertelor</w:t>
      </w:r>
      <w:r w:rsidR="00745442" w:rsidRPr="00745442">
        <w:rPr>
          <w:rFonts w:ascii="Montserrat Light" w:hAnsi="Montserrat Light"/>
          <w:noProof/>
          <w:sz w:val="22"/>
          <w:szCs w:val="22"/>
          <w:lang w:val="ro-RO"/>
        </w:rPr>
        <w:t xml:space="preserve"> pentru atribuirea contractului având ca obiect achiziție dotări necesare desfășurării activității spitalului – MOBILIER-Lot V în cadrul proiectului ”Extinderea și modernizarea Ambulatoriului Clinic de Psihiatrie Pediatrică din cadrul Spitalului Clinic de Urgență pentru Copii Cluj” , elaborat de către Direcția Dezvoltare şi Investiţii</w:t>
      </w:r>
      <w:r w:rsidRPr="00193457">
        <w:rPr>
          <w:rFonts w:ascii="Montserrat Light" w:hAnsi="Montserrat Light"/>
          <w:noProof/>
          <w:sz w:val="22"/>
          <w:szCs w:val="22"/>
          <w:lang w:val="ro-RO"/>
        </w:rPr>
        <w:t>, în componenţa cuprinsă în anexa care face parte integrantă din prezenta dispoziție.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4FA85FF5"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D</w:t>
      </w:r>
      <w:r w:rsidR="003554BE" w:rsidRPr="003554BE">
        <w:rPr>
          <w:rFonts w:ascii="Montserrat Light" w:hAnsi="Montserrat Light"/>
          <w:noProof/>
          <w:sz w:val="22"/>
          <w:szCs w:val="22"/>
          <w:lang w:val="ro-RO"/>
        </w:rPr>
        <w:t xml:space="preserve">na Ramona Jucan </w:t>
      </w:r>
      <w:r w:rsidRPr="003554BE">
        <w:rPr>
          <w:rFonts w:ascii="Montserrat Light" w:hAnsi="Montserrat Light"/>
          <w:noProof/>
          <w:sz w:val="22"/>
          <w:szCs w:val="22"/>
          <w:lang w:val="ro-RO"/>
        </w:rPr>
        <w:t xml:space="preserve">– consilier achiziții publice - </w:t>
      </w:r>
      <w:bookmarkStart w:id="5"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5"/>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se desemnează în calitate de  persoană responsabilă cu aplicarea procedurii de atribuire a contractului precizat la articolul 1.</w:t>
      </w:r>
    </w:p>
    <w:p w14:paraId="6EFBB17A" w14:textId="1B9EE847"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Pr>
          <w:rFonts w:ascii="Montserrat Light" w:hAnsi="Montserrat Light"/>
          <w:noProof/>
          <w:sz w:val="22"/>
          <w:szCs w:val="22"/>
          <w:lang w:val="ro-RO"/>
        </w:rPr>
        <w:t>4</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4CD201D8"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193457">
        <w:rPr>
          <w:rFonts w:ascii="Montserrat Light" w:hAnsi="Montserrat Light"/>
          <w:noProof/>
          <w:sz w:val="22"/>
          <w:szCs w:val="22"/>
          <w:lang w:val="ro-RO"/>
        </w:rPr>
        <w:t>5</w:t>
      </w:r>
      <w:r w:rsidRPr="00193457">
        <w:rPr>
          <w:rFonts w:ascii="Montserrat Light" w:hAnsi="Montserrat Light"/>
          <w:noProof/>
          <w:sz w:val="22"/>
          <w:szCs w:val="22"/>
          <w:lang w:val="ro-RO"/>
        </w:rPr>
        <w:t xml:space="preserve">. </w:t>
      </w:r>
      <w:bookmarkEnd w:id="4"/>
      <w:r w:rsidR="00F0460F" w:rsidRPr="00724AD8">
        <w:rPr>
          <w:rFonts w:ascii="Montserrat Light" w:eastAsia="Calibri" w:hAnsi="Montserrat Light"/>
          <w:noProof/>
          <w:sz w:val="22"/>
          <w:szCs w:val="22"/>
          <w:lang w:val="ro-RO"/>
        </w:rPr>
        <w:t xml:space="preserve">Pentru punerea în aplicare a prezentei dispoziții se desemnează </w:t>
      </w:r>
      <w:bookmarkStart w:id="6" w:name="_Hlk155260037"/>
      <w:r w:rsidR="00745442" w:rsidRPr="00745442">
        <w:rPr>
          <w:rFonts w:ascii="Montserrat Light" w:eastAsia="Calibri" w:hAnsi="Montserrat Light"/>
          <w:noProof/>
          <w:sz w:val="22"/>
          <w:szCs w:val="22"/>
          <w:lang w:val="ro-RO"/>
        </w:rPr>
        <w:t>Direcția Dezvoltare și Investiții</w:t>
      </w:r>
      <w:bookmarkEnd w:id="6"/>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7F53E941"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193457" w:rsidRPr="00745442">
        <w:rPr>
          <w:rFonts w:ascii="Montserrat Light" w:hAnsi="Montserrat Light"/>
          <w:noProof/>
          <w:sz w:val="22"/>
          <w:szCs w:val="22"/>
          <w:lang w:val="ro-RO"/>
        </w:rPr>
        <w:t>6</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 xml:space="preserve">Prezenta dispoziţie se comunică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DE94410" w14:textId="77777777" w:rsid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AF1D2E"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C552154"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398F1CC"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11CB1851" w14:textId="77777777" w:rsidR="00724AD8" w:rsidRPr="00724AD8" w:rsidRDefault="00724AD8"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724AD8" w:rsidRDefault="00D7250E" w:rsidP="00EF5C01">
      <w:pPr>
        <w:spacing w:line="240" w:lineRule="auto"/>
        <w:ind w:left="-450" w:firstLine="851"/>
        <w:contextualSpacing/>
        <w:rPr>
          <w:rFonts w:ascii="Montserrat Light" w:hAnsi="Montserrat Light"/>
          <w:bCs/>
          <w:noProof/>
          <w:lang w:val="ro-RO"/>
        </w:rPr>
      </w:pPr>
      <w:r w:rsidRPr="00724AD8">
        <w:rPr>
          <w:rFonts w:ascii="Montserrat Light" w:hAnsi="Montserrat Light"/>
          <w:bCs/>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6AA60A5A" w14:textId="77777777" w:rsidR="00724AD8" w:rsidRDefault="00724AD8" w:rsidP="00EF5C01">
      <w:pPr>
        <w:spacing w:line="240" w:lineRule="auto"/>
        <w:ind w:left="-450" w:firstLine="851"/>
        <w:contextualSpacing/>
        <w:rPr>
          <w:rFonts w:ascii="Montserrat Light" w:hAnsi="Montserrat Light"/>
          <w:bCs/>
          <w:noProof/>
          <w:lang w:val="ro-RO"/>
        </w:rPr>
      </w:pPr>
    </w:p>
    <w:p w14:paraId="755C381C" w14:textId="77777777" w:rsidR="00190CF6" w:rsidRDefault="00190CF6" w:rsidP="00EF5C01">
      <w:pPr>
        <w:spacing w:line="240" w:lineRule="auto"/>
        <w:ind w:left="-450" w:firstLine="851"/>
        <w:contextualSpacing/>
        <w:rPr>
          <w:rFonts w:ascii="Montserrat Light" w:hAnsi="Montserrat Light"/>
          <w:bCs/>
          <w:noProof/>
          <w:lang w:val="ro-RO"/>
        </w:rPr>
      </w:pPr>
    </w:p>
    <w:p w14:paraId="7E41B0BE" w14:textId="77777777" w:rsidR="00190CF6" w:rsidRDefault="00190CF6" w:rsidP="00EF5C01">
      <w:pPr>
        <w:spacing w:line="240" w:lineRule="auto"/>
        <w:ind w:left="-450" w:firstLine="851"/>
        <w:contextualSpacing/>
        <w:rPr>
          <w:rFonts w:ascii="Montserrat Light" w:hAnsi="Montserrat Light"/>
          <w:bCs/>
          <w:noProof/>
          <w:lang w:val="ro-RO"/>
        </w:rPr>
      </w:pPr>
    </w:p>
    <w:p w14:paraId="10E1F05B" w14:textId="77777777" w:rsidR="00190CF6" w:rsidRDefault="00190CF6" w:rsidP="00EF5C01">
      <w:pPr>
        <w:spacing w:line="240" w:lineRule="auto"/>
        <w:ind w:left="-450" w:firstLine="851"/>
        <w:contextualSpacing/>
        <w:rPr>
          <w:rFonts w:ascii="Montserrat Light" w:hAnsi="Montserrat Light"/>
          <w:bCs/>
          <w:noProof/>
          <w:lang w:val="ro-RO"/>
        </w:rPr>
      </w:pPr>
    </w:p>
    <w:p w14:paraId="7D8A563D" w14:textId="77777777" w:rsidR="00190CF6" w:rsidRDefault="00190CF6" w:rsidP="00EF5C01">
      <w:pPr>
        <w:spacing w:line="240" w:lineRule="auto"/>
        <w:ind w:left="-450" w:firstLine="851"/>
        <w:contextualSpacing/>
        <w:rPr>
          <w:rFonts w:ascii="Montserrat Light" w:hAnsi="Montserrat Light"/>
          <w:bCs/>
          <w:noProof/>
          <w:lang w:val="ro-RO"/>
        </w:rPr>
      </w:pPr>
    </w:p>
    <w:p w14:paraId="16E18F66" w14:textId="77777777" w:rsidR="00190CF6" w:rsidRDefault="00190CF6" w:rsidP="00EF5C01">
      <w:pPr>
        <w:spacing w:line="240" w:lineRule="auto"/>
        <w:ind w:left="-450" w:firstLine="851"/>
        <w:contextualSpacing/>
        <w:rPr>
          <w:rFonts w:ascii="Montserrat Light" w:hAnsi="Montserrat Light"/>
          <w:bCs/>
          <w:noProof/>
          <w:lang w:val="ro-RO"/>
        </w:rPr>
      </w:pPr>
    </w:p>
    <w:p w14:paraId="756AA91E" w14:textId="77777777" w:rsidR="00BF0B10" w:rsidRDefault="00BF0B10" w:rsidP="00EF5C01">
      <w:pPr>
        <w:spacing w:line="240" w:lineRule="auto"/>
        <w:ind w:left="-450" w:firstLine="851"/>
        <w:contextualSpacing/>
        <w:rPr>
          <w:rFonts w:ascii="Montserrat Light" w:hAnsi="Montserrat Light"/>
          <w:bCs/>
          <w:noProof/>
          <w:lang w:val="ro-RO"/>
        </w:rPr>
      </w:pPr>
    </w:p>
    <w:p w14:paraId="4A5DB95E" w14:textId="77777777" w:rsidR="00BF0B10" w:rsidRDefault="00BF0B10" w:rsidP="002B20F9">
      <w:pPr>
        <w:spacing w:line="240" w:lineRule="auto"/>
        <w:contextualSpacing/>
        <w:rPr>
          <w:rFonts w:ascii="Montserrat Light" w:hAnsi="Montserrat Light"/>
          <w:bCs/>
          <w:noProof/>
          <w:lang w:val="ro-RO"/>
        </w:rPr>
      </w:pPr>
    </w:p>
    <w:p w14:paraId="0FD1AD63" w14:textId="77777777" w:rsidR="00BF0B10" w:rsidRDefault="00BF0B10" w:rsidP="00EF5C01">
      <w:pPr>
        <w:spacing w:line="240" w:lineRule="auto"/>
        <w:ind w:left="-450" w:firstLine="851"/>
        <w:contextualSpacing/>
        <w:rPr>
          <w:rFonts w:ascii="Montserrat Light" w:hAnsi="Montserrat Light"/>
          <w:bCs/>
          <w:noProof/>
          <w:lang w:val="ro-RO"/>
        </w:rPr>
      </w:pPr>
    </w:p>
    <w:p w14:paraId="4926B42D" w14:textId="77777777" w:rsidR="00190CF6" w:rsidRPr="00724AD8" w:rsidRDefault="00190CF6" w:rsidP="000B586F">
      <w:pPr>
        <w:spacing w:line="240" w:lineRule="auto"/>
        <w:contextualSpacing/>
        <w:rPr>
          <w:rFonts w:ascii="Montserrat Light" w:hAnsi="Montserrat Light"/>
          <w:bCs/>
          <w:noProof/>
          <w:lang w:val="ro-RO"/>
        </w:rPr>
      </w:pPr>
    </w:p>
    <w:p w14:paraId="67EAF2A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77910AFA" w14:textId="234E41CD" w:rsidR="002724D3" w:rsidRPr="00955995" w:rsidRDefault="002724D3" w:rsidP="00EF5C01">
      <w:pPr>
        <w:autoSpaceDE w:val="0"/>
        <w:autoSpaceDN w:val="0"/>
        <w:adjustRightInd w:val="0"/>
        <w:spacing w:line="240" w:lineRule="auto"/>
        <w:contextualSpacing/>
        <w:rPr>
          <w:rFonts w:ascii="Montserrat" w:eastAsia="Times New Roman" w:hAnsi="Montserrat"/>
          <w:b/>
          <w:bCs/>
          <w:noProof/>
          <w:lang w:val="ro-RO" w:eastAsia="ro-RO"/>
        </w:rPr>
      </w:pPr>
      <w:r w:rsidRPr="00955995">
        <w:rPr>
          <w:rFonts w:ascii="Montserrat" w:eastAsia="Times New Roman" w:hAnsi="Montserrat"/>
          <w:b/>
          <w:bCs/>
          <w:noProof/>
          <w:lang w:val="ro-RO" w:eastAsia="ro-RO"/>
        </w:rPr>
        <w:t xml:space="preserve">Nr. </w:t>
      </w:r>
      <w:r w:rsidR="00955995" w:rsidRPr="00955995">
        <w:rPr>
          <w:rFonts w:ascii="Montserrat" w:eastAsia="Times New Roman" w:hAnsi="Montserrat"/>
          <w:b/>
          <w:bCs/>
          <w:noProof/>
          <w:lang w:val="ro-RO" w:eastAsia="ro-RO"/>
        </w:rPr>
        <w:t xml:space="preserve">2 </w:t>
      </w:r>
      <w:r w:rsidR="00955995">
        <w:rPr>
          <w:rFonts w:ascii="Montserrat" w:eastAsia="Times New Roman" w:hAnsi="Montserrat"/>
          <w:b/>
          <w:bCs/>
          <w:noProof/>
          <w:lang w:val="ro-RO" w:eastAsia="ro-RO"/>
        </w:rPr>
        <w:t>din 4</w:t>
      </w:r>
      <w:r w:rsidR="00955995" w:rsidRPr="00955995">
        <w:rPr>
          <w:rFonts w:ascii="Montserrat" w:eastAsia="Times New Roman" w:hAnsi="Montserrat"/>
          <w:b/>
          <w:bCs/>
          <w:noProof/>
          <w:lang w:val="ro-RO" w:eastAsia="ro-RO"/>
        </w:rPr>
        <w:t xml:space="preserve"> IANURAIE </w:t>
      </w:r>
      <w:r w:rsidRPr="00955995">
        <w:rPr>
          <w:rFonts w:ascii="Montserrat" w:eastAsia="Times New Roman" w:hAnsi="Montserrat"/>
          <w:b/>
          <w:bCs/>
          <w:noProof/>
          <w:lang w:val="ro-RO" w:eastAsia="ro-RO"/>
        </w:rPr>
        <w:t>20</w:t>
      </w:r>
      <w:r w:rsidR="00111E2A" w:rsidRPr="00955995">
        <w:rPr>
          <w:rFonts w:ascii="Montserrat" w:eastAsia="Times New Roman" w:hAnsi="Montserrat"/>
          <w:b/>
          <w:bCs/>
          <w:noProof/>
          <w:lang w:val="ro-RO" w:eastAsia="ro-RO"/>
        </w:rPr>
        <w:t>2</w:t>
      </w:r>
      <w:r w:rsidR="00BF0B10" w:rsidRPr="00955995">
        <w:rPr>
          <w:rFonts w:ascii="Montserrat" w:eastAsia="Times New Roman" w:hAnsi="Montserrat"/>
          <w:b/>
          <w:bCs/>
          <w:noProof/>
          <w:lang w:val="ro-RO" w:eastAsia="ro-RO"/>
        </w:rPr>
        <w:t>4</w:t>
      </w:r>
    </w:p>
    <w:p w14:paraId="74CCF798" w14:textId="77777777" w:rsidR="00A815F4" w:rsidRPr="00724AD8" w:rsidRDefault="00A815F4" w:rsidP="0024395E">
      <w:pPr>
        <w:spacing w:line="240" w:lineRule="auto"/>
        <w:rPr>
          <w:rFonts w:ascii="Montserrat Light" w:hAnsi="Montserrat Light"/>
          <w:b/>
          <w:bCs/>
          <w:noProof/>
          <w:lang w:val="ro-RO"/>
        </w:rPr>
      </w:pPr>
    </w:p>
    <w:p w14:paraId="142EFABE" w14:textId="77777777" w:rsidR="00A815F4" w:rsidRPr="00724AD8" w:rsidRDefault="00A815F4" w:rsidP="00EF5C01">
      <w:pPr>
        <w:spacing w:line="240" w:lineRule="auto"/>
        <w:jc w:val="center"/>
        <w:rPr>
          <w:rFonts w:ascii="Montserrat Light" w:hAnsi="Montserrat Light"/>
          <w:b/>
          <w:bCs/>
          <w:noProof/>
          <w:lang w:val="ro-RO"/>
        </w:rPr>
      </w:pPr>
    </w:p>
    <w:p w14:paraId="44D3E21E" w14:textId="77777777" w:rsidR="003554BE" w:rsidRDefault="003554BE" w:rsidP="00A815F4">
      <w:pPr>
        <w:spacing w:line="240" w:lineRule="auto"/>
        <w:jc w:val="both"/>
        <w:rPr>
          <w:rFonts w:ascii="Montserrat Light" w:hAnsi="Montserrat Light" w:cstheme="majorHAnsi"/>
          <w:b/>
          <w:bCs/>
          <w:i/>
          <w:noProof/>
          <w:shd w:val="clear" w:color="auto" w:fill="FFFFFF"/>
          <w:lang w:val="ro-RO"/>
        </w:rPr>
      </w:pPr>
    </w:p>
    <w:p w14:paraId="79CC7F01" w14:textId="40FD901F" w:rsidR="007D74E9" w:rsidRPr="007D74E9" w:rsidRDefault="007D74E9" w:rsidP="0021097B">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
          <w:noProof/>
          <w:shd w:val="clear" w:color="auto" w:fill="FFFFFF"/>
          <w:lang w:val="ro-RO"/>
        </w:rPr>
        <w:tab/>
      </w:r>
      <w:r w:rsidRPr="007D74E9">
        <w:rPr>
          <w:rFonts w:ascii="Montserrat Light" w:hAnsi="Montserrat Light" w:cstheme="majorHAnsi"/>
          <w:b/>
          <w:bCs/>
          <w:i/>
          <w:noProof/>
          <w:shd w:val="clear" w:color="auto" w:fill="FFFFFF"/>
          <w:lang w:val="ro-RO"/>
        </w:rPr>
        <w:tab/>
      </w:r>
      <w:r w:rsidR="0021097B">
        <w:rPr>
          <w:rFonts w:ascii="Montserrat Light" w:hAnsi="Montserrat Light" w:cstheme="majorHAnsi"/>
          <w:b/>
          <w:bCs/>
          <w:i/>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Anexă la Dispoziția </w:t>
      </w:r>
      <w:r w:rsidR="0021097B">
        <w:rPr>
          <w:rFonts w:ascii="Montserrat Light" w:hAnsi="Montserrat Light" w:cstheme="majorHAnsi"/>
          <w:b/>
          <w:bCs/>
          <w:iCs/>
          <w:noProof/>
          <w:shd w:val="clear" w:color="auto" w:fill="FFFFFF"/>
          <w:lang w:val="ro-RO"/>
        </w:rPr>
        <w:t>nr</w:t>
      </w:r>
      <w:r w:rsidR="00955995">
        <w:rPr>
          <w:rFonts w:ascii="Montserrat Light" w:hAnsi="Montserrat Light" w:cstheme="majorHAnsi"/>
          <w:b/>
          <w:bCs/>
          <w:iCs/>
          <w:noProof/>
          <w:shd w:val="clear" w:color="auto" w:fill="FFFFFF"/>
          <w:lang w:val="ro-RO"/>
        </w:rPr>
        <w:t>. 2/</w:t>
      </w:r>
      <w:r w:rsidRPr="007D74E9">
        <w:rPr>
          <w:rFonts w:ascii="Montserrat Light" w:hAnsi="Montserrat Light" w:cstheme="majorHAnsi"/>
          <w:b/>
          <w:bCs/>
          <w:iCs/>
          <w:noProof/>
          <w:shd w:val="clear" w:color="auto" w:fill="FFFFFF"/>
          <w:lang w:val="ro-RO"/>
        </w:rPr>
        <w:t>2024</w:t>
      </w:r>
    </w:p>
    <w:p w14:paraId="35314D6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F72AAE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24A82849" w14:textId="77777777" w:rsidR="0021097B" w:rsidRPr="0021097B" w:rsidRDefault="007D74E9" w:rsidP="0021097B">
      <w:pPr>
        <w:spacing w:line="240" w:lineRule="auto"/>
        <w:jc w:val="center"/>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acordului cadru având ca obiect </w:t>
      </w:r>
      <w:r w:rsidR="0021097B" w:rsidRPr="0021097B">
        <w:rPr>
          <w:rFonts w:ascii="Montserrat Light" w:hAnsi="Montserrat Light" w:cstheme="majorHAnsi"/>
          <w:b/>
          <w:bCs/>
          <w:iCs/>
          <w:noProof/>
          <w:shd w:val="clear" w:color="auto" w:fill="FFFFFF"/>
          <w:lang w:val="ro-RO"/>
        </w:rPr>
        <w:t>achiziție dotări necesare desfășurării activității spitalului – MOBILIER-Lot V în cadrul proiectului ”Extinderea și modernizarea Ambulatoriului Clinic de Psihiatrie Pediatrică din cadrul Spitalului Clinic de Urgență pentru Copii Cluj”</w:t>
      </w:r>
    </w:p>
    <w:p w14:paraId="2D1334E3" w14:textId="621E4744" w:rsidR="007D74E9" w:rsidRPr="007D74E9" w:rsidRDefault="007D74E9" w:rsidP="0021097B">
      <w:pPr>
        <w:spacing w:line="240" w:lineRule="auto"/>
        <w:jc w:val="center"/>
        <w:rPr>
          <w:rFonts w:ascii="Montserrat Light" w:hAnsi="Montserrat Light" w:cstheme="majorHAnsi"/>
          <w:b/>
          <w:bCs/>
          <w:iCs/>
          <w:noProof/>
          <w:shd w:val="clear" w:color="auto" w:fill="FFFFFF"/>
          <w:lang w:val="ro-RO"/>
        </w:rPr>
      </w:pPr>
    </w:p>
    <w:p w14:paraId="54E0C18E"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09"/>
        <w:gridCol w:w="1985"/>
        <w:gridCol w:w="2488"/>
        <w:gridCol w:w="1728"/>
      </w:tblGrid>
      <w:tr w:rsidR="007D74E9" w:rsidRPr="007D74E9" w14:paraId="1D918CC5" w14:textId="77777777" w:rsidTr="005C3C4D">
        <w:trPr>
          <w:trHeight w:val="1076"/>
          <w:jc w:val="center"/>
        </w:trPr>
        <w:tc>
          <w:tcPr>
            <w:tcW w:w="540" w:type="dxa"/>
            <w:shd w:val="clear" w:color="auto" w:fill="auto"/>
            <w:vAlign w:val="center"/>
          </w:tcPr>
          <w:p w14:paraId="4D6E3D4D"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Nr.</w:t>
            </w:r>
          </w:p>
          <w:p w14:paraId="19328F3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crt.</w:t>
            </w:r>
          </w:p>
        </w:tc>
        <w:tc>
          <w:tcPr>
            <w:tcW w:w="1615" w:type="dxa"/>
            <w:shd w:val="clear" w:color="auto" w:fill="auto"/>
            <w:vAlign w:val="center"/>
          </w:tcPr>
          <w:p w14:paraId="43ACD519"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Calitatea în cadrul comisiei de evaluare</w:t>
            </w:r>
          </w:p>
        </w:tc>
        <w:tc>
          <w:tcPr>
            <w:tcW w:w="1809" w:type="dxa"/>
            <w:shd w:val="clear" w:color="auto" w:fill="auto"/>
            <w:vAlign w:val="center"/>
          </w:tcPr>
          <w:p w14:paraId="5877E8B0"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Numele și prenumele</w:t>
            </w:r>
          </w:p>
        </w:tc>
        <w:tc>
          <w:tcPr>
            <w:tcW w:w="1985" w:type="dxa"/>
            <w:shd w:val="clear" w:color="auto" w:fill="auto"/>
            <w:vAlign w:val="center"/>
          </w:tcPr>
          <w:p w14:paraId="0B268228"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Funcția deținută/</w:t>
            </w:r>
          </w:p>
          <w:p w14:paraId="5F5BE051"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postul ocupat</w:t>
            </w:r>
          </w:p>
        </w:tc>
        <w:tc>
          <w:tcPr>
            <w:tcW w:w="2488" w:type="dxa"/>
            <w:shd w:val="clear" w:color="auto" w:fill="auto"/>
            <w:vAlign w:val="center"/>
          </w:tcPr>
          <w:p w14:paraId="62B96E9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Serviciul/Biroul/</w:t>
            </w:r>
          </w:p>
          <w:p w14:paraId="7ED3CD7F"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Compartimentul</w:t>
            </w:r>
          </w:p>
        </w:tc>
        <w:tc>
          <w:tcPr>
            <w:tcW w:w="1728" w:type="dxa"/>
            <w:shd w:val="clear" w:color="auto" w:fill="auto"/>
            <w:vAlign w:val="center"/>
          </w:tcPr>
          <w:p w14:paraId="1E7F880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Mențiuni</w:t>
            </w:r>
          </w:p>
        </w:tc>
      </w:tr>
      <w:tr w:rsidR="007D74E9" w:rsidRPr="007D74E9" w14:paraId="30883FAA" w14:textId="77777777" w:rsidTr="005C3C4D">
        <w:trPr>
          <w:trHeight w:val="809"/>
          <w:jc w:val="center"/>
        </w:trPr>
        <w:tc>
          <w:tcPr>
            <w:tcW w:w="540" w:type="dxa"/>
            <w:shd w:val="clear" w:color="auto" w:fill="auto"/>
            <w:vAlign w:val="center"/>
          </w:tcPr>
          <w:p w14:paraId="73D2257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1.</w:t>
            </w:r>
          </w:p>
        </w:tc>
        <w:tc>
          <w:tcPr>
            <w:tcW w:w="1615" w:type="dxa"/>
            <w:shd w:val="clear" w:color="auto" w:fill="auto"/>
            <w:vAlign w:val="center"/>
          </w:tcPr>
          <w:p w14:paraId="5FF39C58"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Președinte</w:t>
            </w:r>
          </w:p>
        </w:tc>
        <w:tc>
          <w:tcPr>
            <w:tcW w:w="1809" w:type="dxa"/>
            <w:shd w:val="clear" w:color="auto" w:fill="auto"/>
            <w:vAlign w:val="center"/>
          </w:tcPr>
          <w:p w14:paraId="1FC1C7A5" w14:textId="038008E3"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bookmarkStart w:id="7" w:name="_Hlk155342917"/>
            <w:r>
              <w:rPr>
                <w:rFonts w:ascii="Montserrat Light" w:hAnsi="Montserrat Light" w:cstheme="majorHAnsi"/>
                <w:b/>
                <w:bCs/>
                <w:iCs/>
                <w:noProof/>
                <w:shd w:val="clear" w:color="auto" w:fill="FFFFFF"/>
                <w:lang w:val="ro-RO"/>
              </w:rPr>
              <w:t>Alexandru Crețu</w:t>
            </w:r>
            <w:bookmarkEnd w:id="7"/>
          </w:p>
        </w:tc>
        <w:tc>
          <w:tcPr>
            <w:tcW w:w="1985" w:type="dxa"/>
            <w:shd w:val="clear" w:color="auto" w:fill="auto"/>
            <w:vAlign w:val="center"/>
          </w:tcPr>
          <w:p w14:paraId="6814B917" w14:textId="7B51683B"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Șef Serviciu</w:t>
            </w:r>
          </w:p>
        </w:tc>
        <w:tc>
          <w:tcPr>
            <w:tcW w:w="2488" w:type="dxa"/>
            <w:shd w:val="clear" w:color="auto" w:fill="auto"/>
            <w:vAlign w:val="center"/>
          </w:tcPr>
          <w:p w14:paraId="7E0D9160" w14:textId="0EC72208"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Direcția Dezvoltare și Achiziții - </w:t>
            </w:r>
            <w:bookmarkStart w:id="8" w:name="_Hlk155342933"/>
            <w:r>
              <w:rPr>
                <w:rFonts w:ascii="Montserrat Light" w:hAnsi="Montserrat Light" w:cstheme="majorHAnsi"/>
                <w:b/>
                <w:bCs/>
                <w:iCs/>
                <w:noProof/>
                <w:shd w:val="clear" w:color="auto" w:fill="FFFFFF"/>
                <w:lang w:val="ro-RO"/>
              </w:rPr>
              <w:t>Serviciul Lucrări și Achiziții Publice</w:t>
            </w:r>
            <w:bookmarkEnd w:id="8"/>
          </w:p>
        </w:tc>
        <w:tc>
          <w:tcPr>
            <w:tcW w:w="1728" w:type="dxa"/>
            <w:shd w:val="clear" w:color="auto" w:fill="auto"/>
            <w:vAlign w:val="center"/>
          </w:tcPr>
          <w:p w14:paraId="698F10E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Președinte cu drept de vot</w:t>
            </w:r>
          </w:p>
        </w:tc>
      </w:tr>
      <w:tr w:rsidR="007D74E9" w:rsidRPr="007D74E9" w14:paraId="3246D1FF" w14:textId="77777777" w:rsidTr="005C3C4D">
        <w:trPr>
          <w:trHeight w:val="809"/>
          <w:jc w:val="center"/>
        </w:trPr>
        <w:tc>
          <w:tcPr>
            <w:tcW w:w="540" w:type="dxa"/>
            <w:shd w:val="clear" w:color="auto" w:fill="auto"/>
            <w:vAlign w:val="center"/>
          </w:tcPr>
          <w:p w14:paraId="75FF3D1D"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2</w:t>
            </w:r>
          </w:p>
        </w:tc>
        <w:tc>
          <w:tcPr>
            <w:tcW w:w="1615" w:type="dxa"/>
            <w:shd w:val="clear" w:color="auto" w:fill="auto"/>
            <w:vAlign w:val="center"/>
          </w:tcPr>
          <w:p w14:paraId="5BD87200"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w:t>
            </w:r>
          </w:p>
        </w:tc>
        <w:tc>
          <w:tcPr>
            <w:tcW w:w="1809" w:type="dxa"/>
            <w:shd w:val="clear" w:color="auto" w:fill="auto"/>
            <w:vAlign w:val="center"/>
          </w:tcPr>
          <w:p w14:paraId="199A5C91" w14:textId="71BE6805"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bookmarkStart w:id="9" w:name="_Hlk155342969"/>
            <w:r>
              <w:rPr>
                <w:rFonts w:ascii="Montserrat Light" w:hAnsi="Montserrat Light" w:cstheme="majorHAnsi"/>
                <w:b/>
                <w:bCs/>
                <w:iCs/>
                <w:noProof/>
                <w:shd w:val="clear" w:color="auto" w:fill="FFFFFF"/>
                <w:lang w:val="ro-RO"/>
              </w:rPr>
              <w:t>Ramona Jucan</w:t>
            </w:r>
            <w:bookmarkEnd w:id="9"/>
          </w:p>
        </w:tc>
        <w:tc>
          <w:tcPr>
            <w:tcW w:w="1985" w:type="dxa"/>
            <w:shd w:val="clear" w:color="auto" w:fill="auto"/>
            <w:vAlign w:val="center"/>
          </w:tcPr>
          <w:p w14:paraId="51DDF619"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bookmarkStart w:id="10" w:name="_Hlk155342956"/>
            <w:r w:rsidRPr="007D74E9">
              <w:rPr>
                <w:rFonts w:ascii="Montserrat Light" w:hAnsi="Montserrat Light" w:cstheme="majorHAnsi"/>
                <w:b/>
                <w:bCs/>
                <w:iCs/>
                <w:noProof/>
                <w:shd w:val="clear" w:color="auto" w:fill="FFFFFF"/>
                <w:lang w:val="ro-RO"/>
              </w:rPr>
              <w:t>Consilier achiziții publice</w:t>
            </w:r>
            <w:bookmarkEnd w:id="10"/>
          </w:p>
        </w:tc>
        <w:tc>
          <w:tcPr>
            <w:tcW w:w="2488" w:type="dxa"/>
            <w:shd w:val="clear" w:color="auto" w:fill="auto"/>
            <w:vAlign w:val="center"/>
          </w:tcPr>
          <w:p w14:paraId="4B370B9A" w14:textId="73F3DE42"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007D74E9" w:rsidRPr="007D74E9">
              <w:rPr>
                <w:rFonts w:ascii="Montserrat Light" w:hAnsi="Montserrat Light" w:cstheme="majorHAnsi"/>
                <w:b/>
                <w:bCs/>
                <w:iCs/>
                <w:noProof/>
                <w:shd w:val="clear" w:color="auto" w:fill="FFFFFF"/>
                <w:lang w:val="ro-RO"/>
              </w:rPr>
              <w:t xml:space="preserve">Serviciul Lucrări și Achiziții Publice </w:t>
            </w:r>
          </w:p>
        </w:tc>
        <w:tc>
          <w:tcPr>
            <w:tcW w:w="1728" w:type="dxa"/>
            <w:shd w:val="clear" w:color="auto" w:fill="auto"/>
            <w:vAlign w:val="center"/>
          </w:tcPr>
          <w:p w14:paraId="19C4E9B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Nominalizat în calitate de preşedinte de rezervă cu drept de vot</w:t>
            </w:r>
          </w:p>
        </w:tc>
      </w:tr>
      <w:tr w:rsidR="007D74E9" w:rsidRPr="007D74E9" w14:paraId="0CAD7920" w14:textId="77777777" w:rsidTr="005C3C4D">
        <w:trPr>
          <w:trHeight w:val="980"/>
          <w:jc w:val="center"/>
        </w:trPr>
        <w:tc>
          <w:tcPr>
            <w:tcW w:w="540" w:type="dxa"/>
            <w:shd w:val="clear" w:color="auto" w:fill="auto"/>
            <w:vAlign w:val="center"/>
          </w:tcPr>
          <w:p w14:paraId="61F2E62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bookmarkStart w:id="11" w:name="_Hlk23319819"/>
            <w:r w:rsidRPr="007D74E9">
              <w:rPr>
                <w:rFonts w:ascii="Montserrat Light" w:hAnsi="Montserrat Light" w:cstheme="majorHAnsi"/>
                <w:b/>
                <w:bCs/>
                <w:iCs/>
                <w:noProof/>
                <w:shd w:val="clear" w:color="auto" w:fill="FFFFFF"/>
                <w:lang w:val="ro-RO"/>
              </w:rPr>
              <w:t>3.</w:t>
            </w:r>
          </w:p>
        </w:tc>
        <w:tc>
          <w:tcPr>
            <w:tcW w:w="1615" w:type="dxa"/>
            <w:shd w:val="clear" w:color="auto" w:fill="auto"/>
            <w:vAlign w:val="center"/>
          </w:tcPr>
          <w:p w14:paraId="3E750B3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w:t>
            </w:r>
          </w:p>
        </w:tc>
        <w:tc>
          <w:tcPr>
            <w:tcW w:w="1809" w:type="dxa"/>
            <w:shd w:val="clear" w:color="auto" w:fill="auto"/>
            <w:vAlign w:val="center"/>
          </w:tcPr>
          <w:p w14:paraId="2B3BFFAB" w14:textId="25301C26"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bookmarkStart w:id="12" w:name="_Hlk155343005"/>
            <w:r>
              <w:rPr>
                <w:rFonts w:ascii="Montserrat Light" w:hAnsi="Montserrat Light" w:cstheme="majorHAnsi"/>
                <w:b/>
                <w:bCs/>
                <w:iCs/>
                <w:noProof/>
                <w:shd w:val="clear" w:color="auto" w:fill="FFFFFF"/>
                <w:lang w:val="ro-RO"/>
              </w:rPr>
              <w:t>Niculina Rad</w:t>
            </w:r>
            <w:bookmarkEnd w:id="12"/>
          </w:p>
        </w:tc>
        <w:tc>
          <w:tcPr>
            <w:tcW w:w="1985" w:type="dxa"/>
            <w:shd w:val="clear" w:color="auto" w:fill="auto"/>
            <w:vAlign w:val="center"/>
          </w:tcPr>
          <w:p w14:paraId="37CC0FE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2A8BB18B" w14:textId="3AA6503C"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Serviciul Lucrări și Achiziții Publice</w:t>
            </w:r>
            <w:r>
              <w:rPr>
                <w:rFonts w:ascii="Montserrat Light" w:hAnsi="Montserrat Light" w:cstheme="majorHAnsi"/>
                <w:b/>
                <w:bCs/>
                <w:iCs/>
                <w:noProof/>
                <w:shd w:val="clear" w:color="auto" w:fill="FFFFFF"/>
                <w:lang w:val="ro-RO"/>
              </w:rPr>
              <w:t xml:space="preserve"> – </w:t>
            </w:r>
            <w:bookmarkStart w:id="13" w:name="_Hlk155343034"/>
            <w:r>
              <w:rPr>
                <w:rFonts w:ascii="Montserrat Light" w:hAnsi="Montserrat Light" w:cstheme="majorHAnsi"/>
                <w:b/>
                <w:bCs/>
                <w:iCs/>
                <w:noProof/>
                <w:shd w:val="clear" w:color="auto" w:fill="FFFFFF"/>
                <w:lang w:val="ro-RO"/>
              </w:rPr>
              <w:t>Serviciul Managementul Proiectelor</w:t>
            </w:r>
            <w:bookmarkEnd w:id="13"/>
          </w:p>
        </w:tc>
        <w:tc>
          <w:tcPr>
            <w:tcW w:w="1728" w:type="dxa"/>
            <w:shd w:val="clear" w:color="auto" w:fill="auto"/>
            <w:vAlign w:val="center"/>
          </w:tcPr>
          <w:p w14:paraId="4C26EF0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7D74E9" w:rsidRPr="007D74E9" w14:paraId="66022EAA" w14:textId="77777777" w:rsidTr="005C3C4D">
        <w:trPr>
          <w:trHeight w:val="980"/>
          <w:jc w:val="center"/>
        </w:trPr>
        <w:tc>
          <w:tcPr>
            <w:tcW w:w="540" w:type="dxa"/>
            <w:shd w:val="clear" w:color="auto" w:fill="auto"/>
            <w:vAlign w:val="center"/>
          </w:tcPr>
          <w:p w14:paraId="760C8B53"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4.</w:t>
            </w:r>
          </w:p>
        </w:tc>
        <w:tc>
          <w:tcPr>
            <w:tcW w:w="1615" w:type="dxa"/>
            <w:shd w:val="clear" w:color="auto" w:fill="auto"/>
            <w:vAlign w:val="center"/>
          </w:tcPr>
          <w:p w14:paraId="5A49F306" w14:textId="4C12F0D4"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Membru </w:t>
            </w:r>
          </w:p>
        </w:tc>
        <w:tc>
          <w:tcPr>
            <w:tcW w:w="1809" w:type="dxa"/>
            <w:shd w:val="clear" w:color="auto" w:fill="auto"/>
            <w:vAlign w:val="center"/>
          </w:tcPr>
          <w:p w14:paraId="61FD2164" w14:textId="17289B8A"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bookmarkStart w:id="14" w:name="_Hlk155343060"/>
            <w:r>
              <w:rPr>
                <w:rFonts w:ascii="Montserrat Light" w:hAnsi="Montserrat Light" w:cstheme="majorHAnsi"/>
                <w:b/>
                <w:bCs/>
                <w:iCs/>
                <w:noProof/>
                <w:shd w:val="clear" w:color="auto" w:fill="FFFFFF"/>
                <w:lang w:val="ro-RO"/>
              </w:rPr>
              <w:t>Gabiela Rotaru</w:t>
            </w:r>
            <w:bookmarkEnd w:id="14"/>
          </w:p>
        </w:tc>
        <w:tc>
          <w:tcPr>
            <w:tcW w:w="1985" w:type="dxa"/>
            <w:shd w:val="clear" w:color="auto" w:fill="auto"/>
            <w:vAlign w:val="center"/>
          </w:tcPr>
          <w:p w14:paraId="46F6EEF7"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0A3A5A51" w14:textId="5B209174"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 xml:space="preserve">Direcția Dezvoltare și Achiziții - </w:t>
            </w:r>
            <w:r w:rsidRPr="007D74E9">
              <w:rPr>
                <w:rFonts w:ascii="Montserrat Light" w:hAnsi="Montserrat Light" w:cstheme="majorHAnsi"/>
                <w:b/>
                <w:bCs/>
                <w:iCs/>
                <w:noProof/>
                <w:shd w:val="clear" w:color="auto" w:fill="FFFFFF"/>
                <w:lang w:val="ro-RO"/>
              </w:rPr>
              <w:t>Serviciul Lucrări și Achiziții Publice</w:t>
            </w:r>
          </w:p>
        </w:tc>
        <w:tc>
          <w:tcPr>
            <w:tcW w:w="1728" w:type="dxa"/>
            <w:shd w:val="clear" w:color="auto" w:fill="auto"/>
            <w:vAlign w:val="center"/>
          </w:tcPr>
          <w:p w14:paraId="7BA78E11"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7D74E9" w:rsidRPr="007D74E9" w14:paraId="1526F86E" w14:textId="77777777" w:rsidTr="005C3C4D">
        <w:trPr>
          <w:trHeight w:val="980"/>
          <w:jc w:val="center"/>
        </w:trPr>
        <w:tc>
          <w:tcPr>
            <w:tcW w:w="540" w:type="dxa"/>
            <w:shd w:val="clear" w:color="auto" w:fill="auto"/>
            <w:vAlign w:val="center"/>
          </w:tcPr>
          <w:p w14:paraId="7CC51FC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5.</w:t>
            </w:r>
          </w:p>
        </w:tc>
        <w:tc>
          <w:tcPr>
            <w:tcW w:w="1615" w:type="dxa"/>
            <w:shd w:val="clear" w:color="auto" w:fill="auto"/>
            <w:vAlign w:val="center"/>
          </w:tcPr>
          <w:p w14:paraId="3160DDFA" w14:textId="3D1CF2C1"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Membru </w:t>
            </w:r>
          </w:p>
        </w:tc>
        <w:tc>
          <w:tcPr>
            <w:tcW w:w="1809" w:type="dxa"/>
            <w:shd w:val="clear" w:color="auto" w:fill="auto"/>
            <w:vAlign w:val="center"/>
          </w:tcPr>
          <w:p w14:paraId="6C307AC9" w14:textId="1F264AFB"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bookmarkStart w:id="15" w:name="_Hlk155343089"/>
            <w:r>
              <w:rPr>
                <w:rFonts w:ascii="Montserrat Light" w:hAnsi="Montserrat Light" w:cstheme="majorHAnsi"/>
                <w:b/>
                <w:bCs/>
                <w:iCs/>
                <w:noProof/>
                <w:shd w:val="clear" w:color="auto" w:fill="FFFFFF"/>
                <w:lang w:val="ro-RO"/>
              </w:rPr>
              <w:t>Claudia Rusu</w:t>
            </w:r>
            <w:bookmarkEnd w:id="15"/>
          </w:p>
        </w:tc>
        <w:tc>
          <w:tcPr>
            <w:tcW w:w="1985" w:type="dxa"/>
            <w:shd w:val="clear" w:color="auto" w:fill="auto"/>
            <w:vAlign w:val="center"/>
          </w:tcPr>
          <w:p w14:paraId="1AE36F5A" w14:textId="1B17385B"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Consilier </w:t>
            </w:r>
          </w:p>
        </w:tc>
        <w:tc>
          <w:tcPr>
            <w:tcW w:w="2488" w:type="dxa"/>
            <w:shd w:val="clear" w:color="auto" w:fill="auto"/>
            <w:vAlign w:val="center"/>
          </w:tcPr>
          <w:p w14:paraId="22338CC4" w14:textId="5EDABBA3"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007D74E9" w:rsidRPr="007D74E9">
              <w:rPr>
                <w:rFonts w:ascii="Montserrat Light" w:hAnsi="Montserrat Light" w:cstheme="majorHAnsi"/>
                <w:b/>
                <w:bCs/>
                <w:iCs/>
                <w:noProof/>
                <w:shd w:val="clear" w:color="auto" w:fill="FFFFFF"/>
                <w:lang w:val="ro-RO"/>
              </w:rPr>
              <w:t>Serviciul Lucrări și Achiziții Publice</w:t>
            </w:r>
          </w:p>
        </w:tc>
        <w:tc>
          <w:tcPr>
            <w:tcW w:w="1728" w:type="dxa"/>
            <w:shd w:val="clear" w:color="auto" w:fill="auto"/>
            <w:vAlign w:val="center"/>
          </w:tcPr>
          <w:p w14:paraId="2EABF01B"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tr w:rsidR="007D74E9" w:rsidRPr="007D74E9" w14:paraId="34F1BE04" w14:textId="77777777" w:rsidTr="005C3C4D">
        <w:trPr>
          <w:trHeight w:val="980"/>
          <w:jc w:val="center"/>
        </w:trPr>
        <w:tc>
          <w:tcPr>
            <w:tcW w:w="540" w:type="dxa"/>
            <w:shd w:val="clear" w:color="auto" w:fill="auto"/>
            <w:vAlign w:val="center"/>
          </w:tcPr>
          <w:p w14:paraId="1315456B"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bookmarkStart w:id="16" w:name="_Hlk155343129"/>
            <w:r w:rsidRPr="007D74E9">
              <w:rPr>
                <w:rFonts w:ascii="Montserrat Light" w:hAnsi="Montserrat Light" w:cstheme="majorHAnsi"/>
                <w:b/>
                <w:bCs/>
                <w:iCs/>
                <w:noProof/>
                <w:shd w:val="clear" w:color="auto" w:fill="FFFFFF"/>
                <w:lang w:val="ro-RO"/>
              </w:rPr>
              <w:t>6.</w:t>
            </w:r>
          </w:p>
        </w:tc>
        <w:tc>
          <w:tcPr>
            <w:tcW w:w="1615" w:type="dxa"/>
            <w:shd w:val="clear" w:color="auto" w:fill="auto"/>
            <w:vAlign w:val="center"/>
          </w:tcPr>
          <w:p w14:paraId="3214C8DA"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 de rezerva</w:t>
            </w:r>
          </w:p>
        </w:tc>
        <w:tc>
          <w:tcPr>
            <w:tcW w:w="1809" w:type="dxa"/>
            <w:shd w:val="clear" w:color="auto" w:fill="auto"/>
            <w:vAlign w:val="center"/>
          </w:tcPr>
          <w:p w14:paraId="626A28C3" w14:textId="75654DF1"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Silvia Fabian</w:t>
            </w:r>
          </w:p>
        </w:tc>
        <w:tc>
          <w:tcPr>
            <w:tcW w:w="1985" w:type="dxa"/>
            <w:shd w:val="clear" w:color="auto" w:fill="auto"/>
            <w:vAlign w:val="center"/>
          </w:tcPr>
          <w:p w14:paraId="1DAAAB51"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Consilier achiziții publice</w:t>
            </w:r>
          </w:p>
        </w:tc>
        <w:tc>
          <w:tcPr>
            <w:tcW w:w="2488" w:type="dxa"/>
            <w:shd w:val="clear" w:color="auto" w:fill="auto"/>
            <w:vAlign w:val="center"/>
          </w:tcPr>
          <w:p w14:paraId="377AFA2C" w14:textId="6C2BA160"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21097B">
              <w:rPr>
                <w:rFonts w:ascii="Montserrat Light" w:hAnsi="Montserrat Light" w:cstheme="majorHAnsi"/>
                <w:b/>
                <w:bCs/>
                <w:iCs/>
                <w:noProof/>
                <w:shd w:val="clear" w:color="auto" w:fill="FFFFFF"/>
                <w:lang w:val="ro-RO"/>
              </w:rPr>
              <w:t>Direcția Dezvoltare și Achiziții</w:t>
            </w:r>
            <w:r>
              <w:rPr>
                <w:rFonts w:ascii="Montserrat Light" w:hAnsi="Montserrat Light" w:cstheme="majorHAnsi"/>
                <w:b/>
                <w:bCs/>
                <w:iCs/>
                <w:noProof/>
                <w:shd w:val="clear" w:color="auto" w:fill="FFFFFF"/>
                <w:lang w:val="ro-RO"/>
              </w:rPr>
              <w:t xml:space="preserve"> - </w:t>
            </w:r>
            <w:r w:rsidR="007D74E9" w:rsidRPr="007D74E9">
              <w:rPr>
                <w:rFonts w:ascii="Montserrat Light" w:hAnsi="Montserrat Light" w:cstheme="majorHAnsi"/>
                <w:b/>
                <w:bCs/>
                <w:iCs/>
                <w:noProof/>
                <w:shd w:val="clear" w:color="auto" w:fill="FFFFFF"/>
                <w:lang w:val="ro-RO"/>
              </w:rPr>
              <w:t xml:space="preserve">Serviciul Lucrări și Achiziții Publice </w:t>
            </w:r>
          </w:p>
        </w:tc>
        <w:tc>
          <w:tcPr>
            <w:tcW w:w="1728" w:type="dxa"/>
            <w:shd w:val="clear" w:color="auto" w:fill="auto"/>
            <w:vAlign w:val="center"/>
          </w:tcPr>
          <w:p w14:paraId="03DC4939"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w:t>
            </w:r>
          </w:p>
        </w:tc>
      </w:tr>
      <w:bookmarkEnd w:id="16"/>
      <w:tr w:rsidR="0021097B" w:rsidRPr="007D74E9" w14:paraId="24895C1E" w14:textId="77777777" w:rsidTr="005C3C4D">
        <w:trPr>
          <w:trHeight w:val="980"/>
          <w:jc w:val="center"/>
        </w:trPr>
        <w:tc>
          <w:tcPr>
            <w:tcW w:w="540" w:type="dxa"/>
            <w:shd w:val="clear" w:color="auto" w:fill="auto"/>
            <w:vAlign w:val="center"/>
          </w:tcPr>
          <w:p w14:paraId="23FF70D0" w14:textId="3E4E8F39" w:rsidR="0021097B"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7.</w:t>
            </w:r>
          </w:p>
        </w:tc>
        <w:tc>
          <w:tcPr>
            <w:tcW w:w="1615" w:type="dxa"/>
            <w:shd w:val="clear" w:color="auto" w:fill="auto"/>
            <w:vAlign w:val="center"/>
          </w:tcPr>
          <w:p w14:paraId="1997B182" w14:textId="07D70FB1" w:rsidR="0021097B" w:rsidRPr="007D74E9" w:rsidRDefault="0021097B"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Membru de rezerva</w:t>
            </w:r>
          </w:p>
        </w:tc>
        <w:tc>
          <w:tcPr>
            <w:tcW w:w="1809" w:type="dxa"/>
            <w:shd w:val="clear" w:color="auto" w:fill="auto"/>
            <w:vAlign w:val="center"/>
          </w:tcPr>
          <w:p w14:paraId="6B8188D0" w14:textId="58C8AF55" w:rsidR="0021097B" w:rsidRDefault="0021097B" w:rsidP="007D74E9">
            <w:pPr>
              <w:spacing w:line="240" w:lineRule="auto"/>
              <w:jc w:val="both"/>
              <w:rPr>
                <w:rFonts w:ascii="Montserrat Light" w:hAnsi="Montserrat Light" w:cstheme="majorHAnsi"/>
                <w:b/>
                <w:bCs/>
                <w:iCs/>
                <w:noProof/>
                <w:shd w:val="clear" w:color="auto" w:fill="FFFFFF"/>
                <w:lang w:val="ro-RO"/>
              </w:rPr>
            </w:pPr>
            <w:bookmarkStart w:id="17" w:name="_Hlk155343142"/>
            <w:r>
              <w:rPr>
                <w:rFonts w:ascii="Montserrat Light" w:hAnsi="Montserrat Light" w:cstheme="majorHAnsi"/>
                <w:b/>
                <w:bCs/>
                <w:iCs/>
                <w:noProof/>
                <w:shd w:val="clear" w:color="auto" w:fill="FFFFFF"/>
                <w:lang w:val="ro-RO"/>
              </w:rPr>
              <w:t>Codruța Rațiu</w:t>
            </w:r>
            <w:bookmarkEnd w:id="17"/>
          </w:p>
        </w:tc>
        <w:tc>
          <w:tcPr>
            <w:tcW w:w="1985" w:type="dxa"/>
            <w:shd w:val="clear" w:color="auto" w:fill="auto"/>
            <w:vAlign w:val="center"/>
          </w:tcPr>
          <w:p w14:paraId="636A836E" w14:textId="5E878493" w:rsidR="0021097B"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Consilier</w:t>
            </w:r>
          </w:p>
        </w:tc>
        <w:tc>
          <w:tcPr>
            <w:tcW w:w="2488" w:type="dxa"/>
            <w:shd w:val="clear" w:color="auto" w:fill="auto"/>
            <w:vAlign w:val="center"/>
          </w:tcPr>
          <w:p w14:paraId="0840F426" w14:textId="42179F97" w:rsidR="0021097B" w:rsidRPr="0021097B"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Direcția Generală Buget, Finanțe Resurse Umane – </w:t>
            </w:r>
            <w:bookmarkStart w:id="18" w:name="_Hlk155343178"/>
            <w:r>
              <w:rPr>
                <w:rFonts w:ascii="Montserrat Light" w:hAnsi="Montserrat Light" w:cstheme="majorHAnsi"/>
                <w:b/>
                <w:bCs/>
                <w:iCs/>
                <w:noProof/>
                <w:shd w:val="clear" w:color="auto" w:fill="FFFFFF"/>
                <w:lang w:val="ro-RO"/>
              </w:rPr>
              <w:t>Serviciul Financiar Contabil</w:t>
            </w:r>
            <w:bookmarkEnd w:id="18"/>
          </w:p>
        </w:tc>
        <w:tc>
          <w:tcPr>
            <w:tcW w:w="1728" w:type="dxa"/>
            <w:shd w:val="clear" w:color="auto" w:fill="auto"/>
            <w:vAlign w:val="center"/>
          </w:tcPr>
          <w:p w14:paraId="3EE2F979" w14:textId="1F523CDF" w:rsidR="0021097B"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w:t>
            </w:r>
          </w:p>
        </w:tc>
      </w:tr>
      <w:bookmarkEnd w:id="11"/>
    </w:tbl>
    <w:p w14:paraId="36D6F552"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Pr="007D74E9" w:rsidRDefault="003554BE" w:rsidP="00A815F4">
      <w:pPr>
        <w:spacing w:line="240" w:lineRule="auto"/>
        <w:jc w:val="both"/>
        <w:rPr>
          <w:rFonts w:ascii="Montserrat Light" w:hAnsi="Montserrat Light" w:cstheme="majorHAnsi"/>
          <w:b/>
          <w:bCs/>
          <w:iCs/>
          <w:noProof/>
          <w:shd w:val="clear" w:color="auto" w:fill="FFFFFF"/>
          <w:lang w:val="ro-RO"/>
        </w:rPr>
      </w:pPr>
    </w:p>
    <w:sectPr w:rsidR="003554BE" w:rsidRPr="007D74E9"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94F85" w14:textId="77777777" w:rsidR="009225E9" w:rsidRDefault="009225E9">
      <w:pPr>
        <w:spacing w:line="240" w:lineRule="auto"/>
      </w:pPr>
      <w:r>
        <w:separator/>
      </w:r>
    </w:p>
  </w:endnote>
  <w:endnote w:type="continuationSeparator" w:id="0">
    <w:p w14:paraId="3EB59622" w14:textId="77777777" w:rsidR="009225E9" w:rsidRDefault="00922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Montserrat">
    <w:panose1 w:val="00000800000000000000"/>
    <w:charset w:val="EE"/>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7621" w14:textId="77777777" w:rsidR="009225E9" w:rsidRDefault="009225E9">
      <w:pPr>
        <w:spacing w:line="240" w:lineRule="auto"/>
      </w:pPr>
      <w:r>
        <w:separator/>
      </w:r>
    </w:p>
  </w:footnote>
  <w:footnote w:type="continuationSeparator" w:id="0">
    <w:p w14:paraId="462FF887" w14:textId="77777777" w:rsidR="009225E9" w:rsidRDefault="00922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6"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2"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7"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7"/>
  </w:num>
  <w:num w:numId="2" w16cid:durableId="189492796">
    <w:abstractNumId w:val="4"/>
  </w:num>
  <w:num w:numId="3" w16cid:durableId="15847983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0"/>
  </w:num>
  <w:num w:numId="14" w16cid:durableId="11150054">
    <w:abstractNumId w:val="2"/>
  </w:num>
  <w:num w:numId="15" w16cid:durableId="506529174">
    <w:abstractNumId w:val="17"/>
  </w:num>
  <w:num w:numId="16" w16cid:durableId="463618929">
    <w:abstractNumId w:val="13"/>
  </w:num>
  <w:num w:numId="17" w16cid:durableId="1256284958">
    <w:abstractNumId w:val="36"/>
  </w:num>
  <w:num w:numId="18" w16cid:durableId="391736234">
    <w:abstractNumId w:val="15"/>
  </w:num>
  <w:num w:numId="19" w16cid:durableId="1554267048">
    <w:abstractNumId w:val="15"/>
  </w:num>
  <w:num w:numId="20" w16cid:durableId="1326203982">
    <w:abstractNumId w:val="15"/>
  </w:num>
  <w:num w:numId="21" w16cid:durableId="531267346">
    <w:abstractNumId w:val="28"/>
  </w:num>
  <w:num w:numId="22" w16cid:durableId="1877959363">
    <w:abstractNumId w:val="12"/>
  </w:num>
  <w:num w:numId="23" w16cid:durableId="2070418703">
    <w:abstractNumId w:val="33"/>
  </w:num>
  <w:num w:numId="24" w16cid:durableId="137654931">
    <w:abstractNumId w:val="19"/>
  </w:num>
  <w:num w:numId="25" w16cid:durableId="512378729">
    <w:abstractNumId w:val="6"/>
  </w:num>
  <w:num w:numId="26" w16cid:durableId="1526017019">
    <w:abstractNumId w:val="3"/>
  </w:num>
  <w:num w:numId="27" w16cid:durableId="563834917">
    <w:abstractNumId w:val="35"/>
  </w:num>
  <w:num w:numId="28" w16cid:durableId="1344865819">
    <w:abstractNumId w:val="24"/>
  </w:num>
  <w:num w:numId="29" w16cid:durableId="2008822431">
    <w:abstractNumId w:val="27"/>
  </w:num>
  <w:num w:numId="30" w16cid:durableId="1920676656">
    <w:abstractNumId w:val="31"/>
  </w:num>
  <w:num w:numId="31" w16cid:durableId="869802895">
    <w:abstractNumId w:val="25"/>
  </w:num>
  <w:num w:numId="32" w16cid:durableId="1321077683">
    <w:abstractNumId w:val="18"/>
  </w:num>
  <w:num w:numId="33" w16cid:durableId="858465981">
    <w:abstractNumId w:val="0"/>
  </w:num>
  <w:num w:numId="34" w16cid:durableId="642538410">
    <w:abstractNumId w:val="21"/>
  </w:num>
  <w:num w:numId="35" w16cid:durableId="1204100555">
    <w:abstractNumId w:val="10"/>
  </w:num>
  <w:num w:numId="36" w16cid:durableId="1066729760">
    <w:abstractNumId w:val="1"/>
  </w:num>
  <w:num w:numId="37" w16cid:durableId="1871382903">
    <w:abstractNumId w:val="26"/>
  </w:num>
  <w:num w:numId="38" w16cid:durableId="1531720884">
    <w:abstractNumId w:val="11"/>
  </w:num>
  <w:num w:numId="39" w16cid:durableId="1372264160">
    <w:abstractNumId w:val="16"/>
  </w:num>
  <w:num w:numId="40" w16cid:durableId="936333019">
    <w:abstractNumId w:val="34"/>
  </w:num>
  <w:num w:numId="41" w16cid:durableId="856575429">
    <w:abstractNumId w:val="22"/>
  </w:num>
  <w:num w:numId="42" w16cid:durableId="20340649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40DD8"/>
    <w:rsid w:val="00047EED"/>
    <w:rsid w:val="0005218C"/>
    <w:rsid w:val="00052FEC"/>
    <w:rsid w:val="000612C8"/>
    <w:rsid w:val="00062D10"/>
    <w:rsid w:val="0007777F"/>
    <w:rsid w:val="000979BB"/>
    <w:rsid w:val="000A5149"/>
    <w:rsid w:val="000B2339"/>
    <w:rsid w:val="000B2DC6"/>
    <w:rsid w:val="000B586F"/>
    <w:rsid w:val="000B5F0E"/>
    <w:rsid w:val="000C2DE6"/>
    <w:rsid w:val="000F14FD"/>
    <w:rsid w:val="000F46A0"/>
    <w:rsid w:val="001077E9"/>
    <w:rsid w:val="00111E2A"/>
    <w:rsid w:val="00117873"/>
    <w:rsid w:val="00132D24"/>
    <w:rsid w:val="001337E0"/>
    <w:rsid w:val="001537A4"/>
    <w:rsid w:val="0015619A"/>
    <w:rsid w:val="00165285"/>
    <w:rsid w:val="00165D29"/>
    <w:rsid w:val="00190CF6"/>
    <w:rsid w:val="00193457"/>
    <w:rsid w:val="001A0033"/>
    <w:rsid w:val="001A0C57"/>
    <w:rsid w:val="001A4CE5"/>
    <w:rsid w:val="001A54B9"/>
    <w:rsid w:val="001B5C98"/>
    <w:rsid w:val="001C6EA8"/>
    <w:rsid w:val="001D0E07"/>
    <w:rsid w:val="001D423E"/>
    <w:rsid w:val="001E719F"/>
    <w:rsid w:val="00202D25"/>
    <w:rsid w:val="0021097B"/>
    <w:rsid w:val="00235201"/>
    <w:rsid w:val="00236CD1"/>
    <w:rsid w:val="0024338D"/>
    <w:rsid w:val="0024395E"/>
    <w:rsid w:val="00271810"/>
    <w:rsid w:val="002724D3"/>
    <w:rsid w:val="00274DB3"/>
    <w:rsid w:val="00275742"/>
    <w:rsid w:val="002B13CF"/>
    <w:rsid w:val="002B20F9"/>
    <w:rsid w:val="002C04A5"/>
    <w:rsid w:val="002E3E1D"/>
    <w:rsid w:val="002E572E"/>
    <w:rsid w:val="002F3FD2"/>
    <w:rsid w:val="00305BAD"/>
    <w:rsid w:val="00317AD9"/>
    <w:rsid w:val="003554BE"/>
    <w:rsid w:val="00356FB5"/>
    <w:rsid w:val="00365B89"/>
    <w:rsid w:val="003765F1"/>
    <w:rsid w:val="003900EB"/>
    <w:rsid w:val="00390709"/>
    <w:rsid w:val="00394005"/>
    <w:rsid w:val="003B2C93"/>
    <w:rsid w:val="003B74A7"/>
    <w:rsid w:val="003F18C0"/>
    <w:rsid w:val="003F3BDC"/>
    <w:rsid w:val="00400E22"/>
    <w:rsid w:val="004212A2"/>
    <w:rsid w:val="00434AE9"/>
    <w:rsid w:val="004779C9"/>
    <w:rsid w:val="00481949"/>
    <w:rsid w:val="004839E5"/>
    <w:rsid w:val="004A031E"/>
    <w:rsid w:val="004B245A"/>
    <w:rsid w:val="004D0B94"/>
    <w:rsid w:val="00500A70"/>
    <w:rsid w:val="005074FC"/>
    <w:rsid w:val="00517DE8"/>
    <w:rsid w:val="005246DD"/>
    <w:rsid w:val="00534029"/>
    <w:rsid w:val="0053648B"/>
    <w:rsid w:val="005443BE"/>
    <w:rsid w:val="0054657D"/>
    <w:rsid w:val="00550DC5"/>
    <w:rsid w:val="00551D52"/>
    <w:rsid w:val="00553DF2"/>
    <w:rsid w:val="0056618C"/>
    <w:rsid w:val="00567263"/>
    <w:rsid w:val="005852D1"/>
    <w:rsid w:val="005912A7"/>
    <w:rsid w:val="00594829"/>
    <w:rsid w:val="005C119E"/>
    <w:rsid w:val="005C13DA"/>
    <w:rsid w:val="005E1385"/>
    <w:rsid w:val="005E6CB1"/>
    <w:rsid w:val="005F2AEB"/>
    <w:rsid w:val="00606098"/>
    <w:rsid w:val="00624C5C"/>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6BAF"/>
    <w:rsid w:val="006E7396"/>
    <w:rsid w:val="006F68B3"/>
    <w:rsid w:val="006F7C25"/>
    <w:rsid w:val="00701AEC"/>
    <w:rsid w:val="00703CB4"/>
    <w:rsid w:val="007044B7"/>
    <w:rsid w:val="007101C2"/>
    <w:rsid w:val="00716029"/>
    <w:rsid w:val="00722FE2"/>
    <w:rsid w:val="00724AD8"/>
    <w:rsid w:val="00726046"/>
    <w:rsid w:val="00745442"/>
    <w:rsid w:val="00767350"/>
    <w:rsid w:val="00770A0A"/>
    <w:rsid w:val="00774535"/>
    <w:rsid w:val="00783F0E"/>
    <w:rsid w:val="00784351"/>
    <w:rsid w:val="0078623A"/>
    <w:rsid w:val="00787A10"/>
    <w:rsid w:val="007A1E44"/>
    <w:rsid w:val="007C76DF"/>
    <w:rsid w:val="007D74E9"/>
    <w:rsid w:val="007E085D"/>
    <w:rsid w:val="007E133B"/>
    <w:rsid w:val="007F38C1"/>
    <w:rsid w:val="00802B66"/>
    <w:rsid w:val="00817A3D"/>
    <w:rsid w:val="00827215"/>
    <w:rsid w:val="008368B0"/>
    <w:rsid w:val="0084461F"/>
    <w:rsid w:val="00845773"/>
    <w:rsid w:val="00852EAE"/>
    <w:rsid w:val="0085587C"/>
    <w:rsid w:val="008632E4"/>
    <w:rsid w:val="00882EBB"/>
    <w:rsid w:val="00886006"/>
    <w:rsid w:val="00893491"/>
    <w:rsid w:val="00893D97"/>
    <w:rsid w:val="008A3281"/>
    <w:rsid w:val="008A621C"/>
    <w:rsid w:val="008B3931"/>
    <w:rsid w:val="008C0B63"/>
    <w:rsid w:val="008C0DD9"/>
    <w:rsid w:val="008C1CE4"/>
    <w:rsid w:val="008E6904"/>
    <w:rsid w:val="008F1219"/>
    <w:rsid w:val="008F5F96"/>
    <w:rsid w:val="00901585"/>
    <w:rsid w:val="009171E7"/>
    <w:rsid w:val="009225E9"/>
    <w:rsid w:val="00924F50"/>
    <w:rsid w:val="00926BD5"/>
    <w:rsid w:val="00930CA1"/>
    <w:rsid w:val="009310E5"/>
    <w:rsid w:val="00932137"/>
    <w:rsid w:val="00932264"/>
    <w:rsid w:val="00950534"/>
    <w:rsid w:val="00955995"/>
    <w:rsid w:val="00957E5A"/>
    <w:rsid w:val="00965563"/>
    <w:rsid w:val="00967C70"/>
    <w:rsid w:val="009761E4"/>
    <w:rsid w:val="009945A9"/>
    <w:rsid w:val="009A61BE"/>
    <w:rsid w:val="009B12BB"/>
    <w:rsid w:val="009B70F5"/>
    <w:rsid w:val="009C158B"/>
    <w:rsid w:val="009C2F52"/>
    <w:rsid w:val="009C550C"/>
    <w:rsid w:val="009C5AF3"/>
    <w:rsid w:val="009D133B"/>
    <w:rsid w:val="009D2B70"/>
    <w:rsid w:val="009E007E"/>
    <w:rsid w:val="009F7F50"/>
    <w:rsid w:val="00A07EF5"/>
    <w:rsid w:val="00A13E52"/>
    <w:rsid w:val="00A14C8C"/>
    <w:rsid w:val="00A15755"/>
    <w:rsid w:val="00A17893"/>
    <w:rsid w:val="00A25323"/>
    <w:rsid w:val="00A26CDC"/>
    <w:rsid w:val="00A54071"/>
    <w:rsid w:val="00A62583"/>
    <w:rsid w:val="00A6572E"/>
    <w:rsid w:val="00A71F06"/>
    <w:rsid w:val="00A773EE"/>
    <w:rsid w:val="00A815F4"/>
    <w:rsid w:val="00A91CCF"/>
    <w:rsid w:val="00A93553"/>
    <w:rsid w:val="00AA0AD7"/>
    <w:rsid w:val="00AA46A3"/>
    <w:rsid w:val="00AC5F56"/>
    <w:rsid w:val="00AD076C"/>
    <w:rsid w:val="00AD280C"/>
    <w:rsid w:val="00AD6D1B"/>
    <w:rsid w:val="00AD72AE"/>
    <w:rsid w:val="00AE3037"/>
    <w:rsid w:val="00AF3481"/>
    <w:rsid w:val="00B1174A"/>
    <w:rsid w:val="00B13EFD"/>
    <w:rsid w:val="00B3767F"/>
    <w:rsid w:val="00B40096"/>
    <w:rsid w:val="00B40611"/>
    <w:rsid w:val="00B6438F"/>
    <w:rsid w:val="00B6541E"/>
    <w:rsid w:val="00B71BD1"/>
    <w:rsid w:val="00B7227D"/>
    <w:rsid w:val="00B84046"/>
    <w:rsid w:val="00B91D86"/>
    <w:rsid w:val="00BA2536"/>
    <w:rsid w:val="00BB2201"/>
    <w:rsid w:val="00BB2C53"/>
    <w:rsid w:val="00BD457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36DC"/>
    <w:rsid w:val="00C9041F"/>
    <w:rsid w:val="00C96197"/>
    <w:rsid w:val="00C96510"/>
    <w:rsid w:val="00CA1CD9"/>
    <w:rsid w:val="00CA5EB7"/>
    <w:rsid w:val="00CB1BF7"/>
    <w:rsid w:val="00CB76A4"/>
    <w:rsid w:val="00CC445C"/>
    <w:rsid w:val="00CC4C22"/>
    <w:rsid w:val="00CE1426"/>
    <w:rsid w:val="00CE4100"/>
    <w:rsid w:val="00D352E7"/>
    <w:rsid w:val="00D370C8"/>
    <w:rsid w:val="00D41847"/>
    <w:rsid w:val="00D44AB0"/>
    <w:rsid w:val="00D51768"/>
    <w:rsid w:val="00D528EC"/>
    <w:rsid w:val="00D606A1"/>
    <w:rsid w:val="00D60E48"/>
    <w:rsid w:val="00D671BA"/>
    <w:rsid w:val="00D7250E"/>
    <w:rsid w:val="00D8044B"/>
    <w:rsid w:val="00D877E7"/>
    <w:rsid w:val="00DB3EF6"/>
    <w:rsid w:val="00DC154B"/>
    <w:rsid w:val="00DD584C"/>
    <w:rsid w:val="00DF645A"/>
    <w:rsid w:val="00E013E1"/>
    <w:rsid w:val="00E06776"/>
    <w:rsid w:val="00E13AA2"/>
    <w:rsid w:val="00E17D8E"/>
    <w:rsid w:val="00E215B3"/>
    <w:rsid w:val="00E33B8A"/>
    <w:rsid w:val="00E36A58"/>
    <w:rsid w:val="00E44A2D"/>
    <w:rsid w:val="00E77EEF"/>
    <w:rsid w:val="00E800EB"/>
    <w:rsid w:val="00E862C5"/>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71667"/>
    <w:rsid w:val="00F82BC2"/>
    <w:rsid w:val="00F84ADC"/>
    <w:rsid w:val="00F90BAC"/>
    <w:rsid w:val="00FB1007"/>
    <w:rsid w:val="00FD4FF2"/>
    <w:rsid w:val="00FD5DBE"/>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semiHidden/>
    <w:unhideWhenUsed/>
    <w:rsid w:val="00EC3296"/>
    <w:pPr>
      <w:spacing w:after="120"/>
    </w:pPr>
  </w:style>
  <w:style w:type="character" w:customStyle="1" w:styleId="CorptextCaracter">
    <w:name w:val="Corp text Caracter"/>
    <w:basedOn w:val="Fontdeparagrafimplicit"/>
    <w:link w:val="Corptext"/>
    <w:uiPriority w:val="99"/>
    <w:semiHidden/>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912</Words>
  <Characters>5292</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7</cp:revision>
  <cp:lastPrinted>2024-01-04T13:46:00Z</cp:lastPrinted>
  <dcterms:created xsi:type="dcterms:W3CDTF">2024-01-04T10:28:00Z</dcterms:created>
  <dcterms:modified xsi:type="dcterms:W3CDTF">2024-01-08T09:46:00Z</dcterms:modified>
</cp:coreProperties>
</file>