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73C9ADB0"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672EE6" w:rsidRPr="00672EE6">
        <w:rPr>
          <w:rFonts w:ascii="Montserrat Light" w:eastAsia="Times New Roman" w:hAnsi="Montserrat Light"/>
          <w:b/>
          <w:iCs/>
          <w:noProof/>
          <w:lang w:val="ro-RO" w:eastAsia="ro-RO"/>
        </w:rPr>
        <w:t>Servicii de proiectare si verificare avand ca obiect: Elaborare Documentatii Tehnice pentru realizarea semnalizarii rutiere orizontale (marcaje rutiere) si semnalizarii rutiere verticale (indicatoare rutiere) pe sectoarele de drumuri judetene din judetul Cluj</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5908353D"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Pr="00DB3B74">
        <w:rPr>
          <w:rFonts w:ascii="Montserrat Light" w:eastAsia="Times New Roman" w:hAnsi="Montserrat Light"/>
          <w:noProof/>
          <w:lang w:val="ro-RO" w:eastAsia="ro-RO"/>
        </w:rPr>
        <w:t>.</w:t>
      </w:r>
      <w:r w:rsidR="00E44A2D" w:rsidRPr="00DB3B74">
        <w:rPr>
          <w:rFonts w:ascii="Montserrat Light" w:eastAsia="Times New Roman" w:hAnsi="Montserrat Light"/>
          <w:noProof/>
          <w:lang w:val="ro-RO" w:eastAsia="ro-RO"/>
        </w:rPr>
        <w:t xml:space="preserve"> </w:t>
      </w:r>
      <w:bookmarkStart w:id="1" w:name="_Hlk181865682"/>
      <w:bookmarkStart w:id="2" w:name="_Hlk155259473"/>
      <w:r w:rsidR="00DB3B74" w:rsidRPr="00DB3B74">
        <w:rPr>
          <w:rFonts w:ascii="Montserrat Light" w:eastAsia="Times New Roman" w:hAnsi="Montserrat Light"/>
          <w:noProof/>
          <w:lang w:val="ro-RO" w:eastAsia="ro-RO"/>
        </w:rPr>
        <w:t>45597</w:t>
      </w:r>
      <w:r w:rsidR="00EB48F1" w:rsidRPr="00DB3B74">
        <w:rPr>
          <w:rFonts w:ascii="Montserrat Light" w:eastAsia="Times New Roman" w:hAnsi="Montserrat Light"/>
          <w:noProof/>
          <w:lang w:val="ro-RO" w:eastAsia="ro-RO"/>
        </w:rPr>
        <w:t>/</w:t>
      </w:r>
      <w:r w:rsidR="00DB3B74" w:rsidRPr="00DB3B74">
        <w:rPr>
          <w:rFonts w:ascii="Montserrat Light" w:eastAsia="Times New Roman" w:hAnsi="Montserrat Light"/>
          <w:noProof/>
          <w:lang w:val="ro-RO" w:eastAsia="ro-RO"/>
        </w:rPr>
        <w:t>07.11</w:t>
      </w:r>
      <w:r w:rsidR="00EB48F1" w:rsidRPr="00DB3B74">
        <w:rPr>
          <w:rFonts w:ascii="Montserrat Light" w:eastAsia="Times New Roman" w:hAnsi="Montserrat Light"/>
          <w:noProof/>
          <w:lang w:val="ro-RO" w:eastAsia="ro-RO"/>
        </w:rPr>
        <w:t>.2024</w:t>
      </w:r>
      <w:bookmarkEnd w:id="1"/>
      <w:r w:rsidRPr="00DB3B74">
        <w:rPr>
          <w:rFonts w:ascii="Montserrat Light" w:hAnsi="Montserrat Light"/>
          <w:noProof/>
          <w:lang w:val="ro-RO"/>
        </w:rPr>
        <w:t>, elaborat</w:t>
      </w:r>
      <w:r w:rsidRPr="00724AD8">
        <w:rPr>
          <w:rFonts w:ascii="Montserrat Light" w:hAnsi="Montserrat Light"/>
          <w:noProof/>
          <w:lang w:val="ro-RO"/>
        </w:rPr>
        <w:t xml:space="preserve">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2"/>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3C456FC5" w:rsidR="00193457" w:rsidRPr="00193457" w:rsidRDefault="00193457" w:rsidP="00193457">
      <w:pPr>
        <w:pStyle w:val="Indentcorptext"/>
        <w:spacing w:after="240"/>
        <w:ind w:firstLine="0"/>
        <w:rPr>
          <w:rFonts w:ascii="Montserrat Light" w:hAnsi="Montserrat Light"/>
          <w:noProof/>
          <w:sz w:val="22"/>
          <w:szCs w:val="22"/>
          <w:lang w:val="ro-RO"/>
        </w:rPr>
      </w:pPr>
      <w:bookmarkStart w:id="3"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672EE6" w:rsidRPr="00672EE6">
        <w:rPr>
          <w:rFonts w:ascii="Montserrat Light" w:hAnsi="Montserrat Light"/>
          <w:noProof/>
          <w:sz w:val="22"/>
          <w:szCs w:val="22"/>
          <w:lang w:val="ro-RO"/>
        </w:rPr>
        <w:t>Servicii de proiectare si verificare avand ca obiect: Elaborare Documentatii Tehnice pentru realizarea semnalizarii rutiere orizontale (marcaje rutiere) si semnalizarii rutiere verticale (indicatoare rutiere) pe sectoarele de drumuri judetene din judetul Cluj</w:t>
      </w:r>
      <w:r w:rsidR="00745442" w:rsidRPr="00745442">
        <w:rPr>
          <w:rFonts w:ascii="Montserrat Light" w:hAnsi="Montserrat Light"/>
          <w:noProof/>
          <w:sz w:val="22"/>
          <w:szCs w:val="22"/>
          <w:lang w:val="ro-RO"/>
        </w:rPr>
        <w:t>”</w:t>
      </w:r>
      <w:r w:rsidRPr="00193457">
        <w:rPr>
          <w:rFonts w:ascii="Montserrat Light" w:hAnsi="Montserrat Light"/>
          <w:noProof/>
          <w:sz w:val="22"/>
          <w:szCs w:val="22"/>
          <w:lang w:val="ro-RO"/>
        </w:rPr>
        <w:t>.</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4"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4"/>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3"/>
      <w:r w:rsidR="00F0460F" w:rsidRPr="00724AD8">
        <w:rPr>
          <w:rFonts w:ascii="Montserrat Light" w:eastAsia="Calibri" w:hAnsi="Montserrat Light"/>
          <w:noProof/>
          <w:sz w:val="22"/>
          <w:szCs w:val="22"/>
          <w:lang w:val="ro-RO"/>
        </w:rPr>
        <w:t xml:space="preserve">Pentru punerea în aplicare a prezentei dispoziții se desemnează </w:t>
      </w:r>
      <w:bookmarkStart w:id="5" w:name="_Hlk155260037"/>
      <w:r w:rsidR="00745442" w:rsidRPr="00745442">
        <w:rPr>
          <w:rFonts w:ascii="Montserrat Light" w:eastAsia="Calibri" w:hAnsi="Montserrat Light"/>
          <w:noProof/>
          <w:sz w:val="22"/>
          <w:szCs w:val="22"/>
          <w:lang w:val="ro-RO"/>
        </w:rPr>
        <w:t>Direcția Dezvoltare și Investiții</w:t>
      </w:r>
      <w:bookmarkEnd w:id="5"/>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891C1B4"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7CF15EF8"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7A1CCE">
        <w:rPr>
          <w:rFonts w:ascii="Montserrat Light" w:eastAsia="Times New Roman" w:hAnsi="Montserrat Light"/>
          <w:b/>
          <w:bCs/>
          <w:noProof/>
          <w:lang w:val="ro-RO" w:eastAsia="ro-RO"/>
        </w:rPr>
        <w:t>538</w:t>
      </w:r>
      <w:r w:rsidRPr="00724AD8">
        <w:rPr>
          <w:rFonts w:ascii="Montserrat Light" w:eastAsia="Times New Roman" w:hAnsi="Montserrat Light"/>
          <w:b/>
          <w:bCs/>
          <w:noProof/>
          <w:lang w:val="ro-RO" w:eastAsia="ro-RO"/>
        </w:rPr>
        <w:t xml:space="preserve"> din </w:t>
      </w:r>
      <w:r w:rsidR="007A1CCE">
        <w:rPr>
          <w:rFonts w:ascii="Montserrat Light" w:eastAsia="Times New Roman" w:hAnsi="Montserrat Light"/>
          <w:b/>
          <w:bCs/>
          <w:noProof/>
          <w:lang w:val="ro-RO" w:eastAsia="ro-RO"/>
        </w:rPr>
        <w:t>7 noiembrie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03E5D43D"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lastRenderedPageBreak/>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7A1CCE">
        <w:rPr>
          <w:rFonts w:ascii="Montserrat Light" w:hAnsi="Montserrat Light" w:cstheme="majorHAnsi"/>
          <w:b/>
          <w:bCs/>
          <w:iCs/>
          <w:noProof/>
          <w:shd w:val="clear" w:color="auto" w:fill="FFFFFF"/>
          <w:lang w:val="ro-RO"/>
        </w:rPr>
        <w:t xml:space="preserve"> 538</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68C7D42C"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DB3B74" w:rsidRPr="00DB3B74">
        <w:rPr>
          <w:rFonts w:ascii="Montserrat Light" w:hAnsi="Montserrat Light" w:cstheme="majorHAnsi"/>
          <w:b/>
          <w:bCs/>
          <w:iCs/>
          <w:noProof/>
          <w:shd w:val="clear" w:color="auto" w:fill="FFFFFF"/>
          <w:lang w:val="ro-RO"/>
        </w:rPr>
        <w:t>Servicii de proiectare si verificare avand ca obiect: Elaborare Documentatii Tehnice pentru realizarea semnalizarii rutiere orizontale (marcaje rutiere) si semnalizarii rutiere verticale (indicatoare rutiere) pe sectoarele de drumuri judetene din judetul Cluj</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7"/>
        <w:gridCol w:w="1431"/>
        <w:gridCol w:w="1438"/>
        <w:gridCol w:w="3100"/>
        <w:gridCol w:w="1800"/>
      </w:tblGrid>
      <w:tr w:rsidR="00954DDF" w:rsidRPr="00954DDF" w14:paraId="20E2F5FB" w14:textId="77777777" w:rsidTr="00A37E4A">
        <w:tc>
          <w:tcPr>
            <w:tcW w:w="574"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7"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38"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100"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954DDF" w:rsidRPr="00954DDF" w14:paraId="2E2A689C" w14:textId="77777777" w:rsidTr="00A37E4A">
        <w:tc>
          <w:tcPr>
            <w:tcW w:w="574" w:type="dxa"/>
            <w:shd w:val="clear" w:color="auto" w:fill="auto"/>
            <w:vAlign w:val="center"/>
          </w:tcPr>
          <w:p w14:paraId="3E036C56"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7" w:type="dxa"/>
            <w:shd w:val="clear" w:color="auto" w:fill="auto"/>
            <w:vAlign w:val="center"/>
          </w:tcPr>
          <w:p w14:paraId="245FE40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sz w:val="20"/>
                <w:szCs w:val="20"/>
                <w:lang w:val="en-US" w:eastAsia="de-DE"/>
              </w:rPr>
              <w:t>Președinte</w:t>
            </w:r>
          </w:p>
        </w:tc>
        <w:tc>
          <w:tcPr>
            <w:tcW w:w="1431" w:type="dxa"/>
            <w:shd w:val="clear" w:color="auto" w:fill="auto"/>
            <w:vAlign w:val="center"/>
          </w:tcPr>
          <w:p w14:paraId="0DBBB0A5" w14:textId="2607707A" w:rsidR="00954DDF" w:rsidRPr="00954DDF" w:rsidRDefault="00A7740D"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A7740D">
              <w:rPr>
                <w:rFonts w:ascii="Montserrat Light" w:eastAsia="Calibri" w:hAnsi="Montserrat Light" w:cs="Times New Roman"/>
                <w:sz w:val="20"/>
                <w:szCs w:val="20"/>
                <w:lang w:val="ro-RO" w:eastAsia="de-DE"/>
              </w:rPr>
              <w:t>Mircea-Ovidiu Cosma</w:t>
            </w:r>
          </w:p>
        </w:tc>
        <w:tc>
          <w:tcPr>
            <w:tcW w:w="1438" w:type="dxa"/>
            <w:shd w:val="clear" w:color="auto" w:fill="auto"/>
            <w:vAlign w:val="center"/>
          </w:tcPr>
          <w:p w14:paraId="74746415" w14:textId="1A768FE4" w:rsidR="00954DDF" w:rsidRPr="00954DDF" w:rsidRDefault="00A7740D"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Consilier</w:t>
            </w:r>
          </w:p>
        </w:tc>
        <w:tc>
          <w:tcPr>
            <w:tcW w:w="3100" w:type="dxa"/>
            <w:shd w:val="clear" w:color="auto" w:fill="auto"/>
            <w:vAlign w:val="center"/>
          </w:tcPr>
          <w:p w14:paraId="30307809" w14:textId="4A9FDA06" w:rsidR="00954DDF" w:rsidRPr="00954DDF" w:rsidRDefault="000939E0"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w:t>
            </w:r>
            <w:r>
              <w:rPr>
                <w:rFonts w:ascii="Montserrat Light" w:eastAsia="Times New Roman" w:hAnsi="Montserrat Light" w:cs="Times New Roman"/>
                <w:sz w:val="20"/>
                <w:szCs w:val="20"/>
                <w:lang w:val="pt-BR" w:eastAsia="de-DE"/>
              </w:rPr>
              <w:t>/</w:t>
            </w:r>
            <w:r w:rsidRPr="000939E0">
              <w:rPr>
                <w:rFonts w:ascii="Montserrat Light" w:eastAsia="Times New Roman" w:hAnsi="Montserrat Light" w:cs="Times New Roman"/>
                <w:sz w:val="20"/>
                <w:szCs w:val="20"/>
                <w:lang w:val="pt-BR" w:eastAsia="de-DE"/>
              </w:rPr>
              <w:t>Serviciul Operational</w:t>
            </w:r>
          </w:p>
        </w:tc>
        <w:tc>
          <w:tcPr>
            <w:tcW w:w="1800" w:type="dxa"/>
            <w:shd w:val="clear" w:color="auto" w:fill="auto"/>
            <w:vAlign w:val="center"/>
          </w:tcPr>
          <w:p w14:paraId="4E79B53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954DDF" w:rsidRPr="00672EE6" w14:paraId="46155445" w14:textId="77777777" w:rsidTr="00A37E4A">
        <w:trPr>
          <w:trHeight w:val="1011"/>
        </w:trPr>
        <w:tc>
          <w:tcPr>
            <w:tcW w:w="574" w:type="dxa"/>
            <w:shd w:val="clear" w:color="auto" w:fill="auto"/>
            <w:vAlign w:val="center"/>
          </w:tcPr>
          <w:p w14:paraId="2BFBE9C9"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7" w:type="dxa"/>
            <w:shd w:val="clear" w:color="auto" w:fill="auto"/>
            <w:vAlign w:val="center"/>
          </w:tcPr>
          <w:p w14:paraId="7A4497F0"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31" w:type="dxa"/>
            <w:shd w:val="clear" w:color="auto" w:fill="auto"/>
            <w:vAlign w:val="center"/>
          </w:tcPr>
          <w:p w14:paraId="3485BCD0" w14:textId="5C957697" w:rsidR="00954DDF" w:rsidRPr="00954DDF" w:rsidRDefault="000939E0"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0939E0">
              <w:rPr>
                <w:rFonts w:ascii="Montserrat Light" w:eastAsia="Times New Roman" w:hAnsi="Montserrat Light" w:cs="Times New Roman"/>
                <w:sz w:val="20"/>
                <w:szCs w:val="20"/>
                <w:lang w:val="ro-RO" w:eastAsia="de-DE"/>
              </w:rPr>
              <w:t>Seras Teodor</w:t>
            </w:r>
          </w:p>
        </w:tc>
        <w:tc>
          <w:tcPr>
            <w:tcW w:w="1438" w:type="dxa"/>
            <w:shd w:val="clear" w:color="auto" w:fill="auto"/>
            <w:vAlign w:val="center"/>
          </w:tcPr>
          <w:p w14:paraId="09A93D53" w14:textId="23E76AB5" w:rsidR="00954DDF" w:rsidRPr="00954DDF" w:rsidRDefault="000939E0"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Times New Roman" w:hAnsi="Montserrat Light" w:cs="Times New Roman"/>
                <w:sz w:val="20"/>
                <w:szCs w:val="20"/>
                <w:lang w:val="ro-RO" w:eastAsia="de-DE"/>
              </w:rPr>
              <w:t>Consilier</w:t>
            </w:r>
          </w:p>
        </w:tc>
        <w:tc>
          <w:tcPr>
            <w:tcW w:w="3100" w:type="dxa"/>
            <w:vAlign w:val="center"/>
          </w:tcPr>
          <w:p w14:paraId="3CA250C0" w14:textId="5156DEB3" w:rsidR="00954DDF" w:rsidRPr="000939E0" w:rsidRDefault="000939E0"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3A00A70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A37E4A">
        <w:trPr>
          <w:trHeight w:val="863"/>
        </w:trPr>
        <w:tc>
          <w:tcPr>
            <w:tcW w:w="574"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7"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31"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Carmen Dârlea</w:t>
            </w:r>
          </w:p>
        </w:tc>
        <w:tc>
          <w:tcPr>
            <w:tcW w:w="1438"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Consilier achiziții publice</w:t>
            </w:r>
          </w:p>
        </w:tc>
        <w:tc>
          <w:tcPr>
            <w:tcW w:w="3100"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954DDF" w14:paraId="4F419195" w14:textId="77777777" w:rsidTr="000E0A3E">
        <w:tc>
          <w:tcPr>
            <w:tcW w:w="574" w:type="dxa"/>
            <w:shd w:val="clear" w:color="auto" w:fill="auto"/>
            <w:vAlign w:val="center"/>
          </w:tcPr>
          <w:p w14:paraId="50042381" w14:textId="77777777"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4</w:t>
            </w:r>
          </w:p>
        </w:tc>
        <w:tc>
          <w:tcPr>
            <w:tcW w:w="1377" w:type="dxa"/>
            <w:shd w:val="clear" w:color="auto" w:fill="auto"/>
            <w:vAlign w:val="center"/>
          </w:tcPr>
          <w:p w14:paraId="49D2FE94" w14:textId="2165964F"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 xml:space="preserve">Membru </w:t>
            </w:r>
          </w:p>
        </w:tc>
        <w:tc>
          <w:tcPr>
            <w:tcW w:w="1431" w:type="dxa"/>
            <w:shd w:val="clear" w:color="auto" w:fill="auto"/>
            <w:vAlign w:val="center"/>
          </w:tcPr>
          <w:p w14:paraId="3E7D5120" w14:textId="277D3844"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0939E0">
              <w:rPr>
                <w:rFonts w:ascii="Montserrat Light" w:eastAsia="Calibri" w:hAnsi="Montserrat Light" w:cs="Times New Roman"/>
                <w:sz w:val="20"/>
                <w:szCs w:val="20"/>
                <w:lang w:val="en-US" w:eastAsia="de-DE"/>
              </w:rPr>
              <w:t>Istvan Pop</w:t>
            </w:r>
          </w:p>
        </w:tc>
        <w:tc>
          <w:tcPr>
            <w:tcW w:w="1438" w:type="dxa"/>
            <w:shd w:val="clear" w:color="auto" w:fill="auto"/>
            <w:vAlign w:val="center"/>
          </w:tcPr>
          <w:p w14:paraId="689E1EE6" w14:textId="6D727253" w:rsidR="000939E0" w:rsidRPr="00954DDF" w:rsidRDefault="000939E0" w:rsidP="000939E0">
            <w:pPr>
              <w:spacing w:line="240" w:lineRule="auto"/>
              <w:ind w:right="-87"/>
              <w:jc w:val="center"/>
              <w:rPr>
                <w:rFonts w:ascii="Montserrat Light" w:eastAsia="Calibri" w:hAnsi="Montserrat Light"/>
                <w:sz w:val="20"/>
                <w:szCs w:val="20"/>
              </w:rPr>
            </w:pPr>
            <w:r>
              <w:rPr>
                <w:rFonts w:ascii="Montserrat Light" w:eastAsia="Times New Roman" w:hAnsi="Montserrat Light" w:cs="Times New Roman"/>
                <w:sz w:val="20"/>
                <w:szCs w:val="20"/>
                <w:lang w:val="ro-RO" w:eastAsia="de-DE"/>
              </w:rPr>
              <w:t>Consilier</w:t>
            </w:r>
          </w:p>
        </w:tc>
        <w:tc>
          <w:tcPr>
            <w:tcW w:w="3100" w:type="dxa"/>
            <w:vAlign w:val="center"/>
          </w:tcPr>
          <w:p w14:paraId="15145B70" w14:textId="31BA9C6A"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49049128" w14:textId="77777777" w:rsidR="000939E0" w:rsidRPr="00954DDF" w:rsidRDefault="000939E0" w:rsidP="000939E0">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954DDF" w14:paraId="43F389AA" w14:textId="77777777" w:rsidTr="001C2074">
        <w:tc>
          <w:tcPr>
            <w:tcW w:w="574" w:type="dxa"/>
            <w:shd w:val="clear" w:color="auto" w:fill="auto"/>
            <w:vAlign w:val="center"/>
          </w:tcPr>
          <w:p w14:paraId="217AEA1B" w14:textId="77777777"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5</w:t>
            </w:r>
          </w:p>
        </w:tc>
        <w:tc>
          <w:tcPr>
            <w:tcW w:w="1377" w:type="dxa"/>
            <w:shd w:val="clear" w:color="auto" w:fill="auto"/>
            <w:vAlign w:val="center"/>
          </w:tcPr>
          <w:p w14:paraId="0373D3A5" w14:textId="51440B19"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 xml:space="preserve">Membru </w:t>
            </w:r>
          </w:p>
        </w:tc>
        <w:tc>
          <w:tcPr>
            <w:tcW w:w="1431" w:type="dxa"/>
            <w:tcBorders>
              <w:bottom w:val="single" w:sz="4" w:space="0" w:color="auto"/>
            </w:tcBorders>
            <w:shd w:val="clear" w:color="auto" w:fill="auto"/>
            <w:vAlign w:val="center"/>
          </w:tcPr>
          <w:p w14:paraId="0D8B1F83" w14:textId="73C9F801"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0939E0">
              <w:rPr>
                <w:rFonts w:ascii="Montserrat Light" w:eastAsia="Calibri" w:hAnsi="Montserrat Light" w:cs="Times New Roman"/>
                <w:sz w:val="20"/>
                <w:szCs w:val="20"/>
                <w:lang w:val="en-US" w:eastAsia="de-DE"/>
              </w:rPr>
              <w:t>Farkas Maria Adela</w:t>
            </w:r>
          </w:p>
        </w:tc>
        <w:tc>
          <w:tcPr>
            <w:tcW w:w="1438" w:type="dxa"/>
            <w:shd w:val="clear" w:color="auto" w:fill="auto"/>
            <w:vAlign w:val="center"/>
          </w:tcPr>
          <w:p w14:paraId="2D448B67" w14:textId="10B46B94" w:rsidR="000939E0" w:rsidRPr="00954DDF" w:rsidRDefault="000939E0" w:rsidP="000939E0">
            <w:pPr>
              <w:spacing w:line="240" w:lineRule="auto"/>
              <w:ind w:right="-87"/>
              <w:jc w:val="center"/>
              <w:rPr>
                <w:rFonts w:ascii="Montserrat Light" w:eastAsia="Calibri" w:hAnsi="Montserrat Light"/>
                <w:sz w:val="20"/>
                <w:szCs w:val="20"/>
                <w:lang w:val="ro-RO"/>
              </w:rPr>
            </w:pPr>
            <w:r>
              <w:rPr>
                <w:rFonts w:ascii="Montserrat Light" w:eastAsia="Times New Roman" w:hAnsi="Montserrat Light" w:cs="Times New Roman"/>
                <w:sz w:val="20"/>
                <w:szCs w:val="20"/>
                <w:lang w:val="ro-RO" w:eastAsia="de-DE"/>
              </w:rPr>
              <w:t>Consilier</w:t>
            </w:r>
          </w:p>
        </w:tc>
        <w:tc>
          <w:tcPr>
            <w:tcW w:w="3100" w:type="dxa"/>
            <w:vAlign w:val="center"/>
          </w:tcPr>
          <w:p w14:paraId="39A4CBB4" w14:textId="4D2775A8" w:rsidR="000939E0" w:rsidRPr="00954DDF" w:rsidRDefault="000939E0" w:rsidP="000939E0">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022797B4" w14:textId="77777777" w:rsidR="000939E0" w:rsidRPr="00954DDF" w:rsidRDefault="000939E0" w:rsidP="000939E0">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DB3B74" w:rsidRPr="00954DDF" w14:paraId="64838CE5" w14:textId="77777777" w:rsidTr="001C2074">
        <w:tc>
          <w:tcPr>
            <w:tcW w:w="574" w:type="dxa"/>
            <w:shd w:val="clear" w:color="auto" w:fill="auto"/>
            <w:vAlign w:val="center"/>
          </w:tcPr>
          <w:p w14:paraId="1A7AE7E2" w14:textId="31BEFC5C" w:rsidR="00DB3B74" w:rsidRPr="00954DDF" w:rsidRDefault="00DB3B74" w:rsidP="00DB3B74">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6</w:t>
            </w:r>
          </w:p>
        </w:tc>
        <w:tc>
          <w:tcPr>
            <w:tcW w:w="1377" w:type="dxa"/>
            <w:shd w:val="clear" w:color="auto" w:fill="auto"/>
            <w:vAlign w:val="center"/>
          </w:tcPr>
          <w:p w14:paraId="781E833E" w14:textId="094E9445" w:rsidR="00DB3B74" w:rsidRPr="00954DDF" w:rsidRDefault="00DB3B74" w:rsidP="00DB3B74">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DB3B74">
              <w:rPr>
                <w:rFonts w:ascii="Montserrat Light" w:eastAsia="Calibri" w:hAnsi="Montserrat Light" w:cs="Cambria"/>
                <w:sz w:val="20"/>
                <w:szCs w:val="20"/>
                <w:lang w:val="ro-RO" w:eastAsia="de-DE"/>
              </w:rPr>
              <w:t>Membru de rezervă</w:t>
            </w:r>
          </w:p>
        </w:tc>
        <w:tc>
          <w:tcPr>
            <w:tcW w:w="1431" w:type="dxa"/>
            <w:tcBorders>
              <w:bottom w:val="single" w:sz="4" w:space="0" w:color="auto"/>
            </w:tcBorders>
            <w:shd w:val="clear" w:color="auto" w:fill="auto"/>
            <w:vAlign w:val="center"/>
          </w:tcPr>
          <w:p w14:paraId="459DDFED" w14:textId="77CDEB0B" w:rsidR="00DB3B74" w:rsidRPr="000939E0" w:rsidRDefault="00DB3B74" w:rsidP="00DB3B74">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DB3B74">
              <w:rPr>
                <w:rFonts w:ascii="Montserrat Light" w:eastAsia="Calibri" w:hAnsi="Montserrat Light" w:cs="Times New Roman"/>
                <w:sz w:val="20"/>
                <w:szCs w:val="20"/>
                <w:lang w:val="en-US" w:eastAsia="de-DE"/>
              </w:rPr>
              <w:t>Virgil-Ioan MARC</w:t>
            </w:r>
          </w:p>
        </w:tc>
        <w:tc>
          <w:tcPr>
            <w:tcW w:w="1438" w:type="dxa"/>
            <w:shd w:val="clear" w:color="auto" w:fill="auto"/>
            <w:vAlign w:val="center"/>
          </w:tcPr>
          <w:p w14:paraId="54A4716C" w14:textId="29065A7B" w:rsidR="00DB3B74" w:rsidRDefault="00DB3B74" w:rsidP="00DB3B74">
            <w:pPr>
              <w:spacing w:line="240" w:lineRule="auto"/>
              <w:ind w:right="-87"/>
              <w:jc w:val="center"/>
              <w:rPr>
                <w:rFonts w:ascii="Montserrat Light" w:eastAsia="Times New Roman" w:hAnsi="Montserrat Light" w:cs="Times New Roman"/>
                <w:sz w:val="20"/>
                <w:szCs w:val="20"/>
                <w:lang w:val="ro-RO" w:eastAsia="de-DE"/>
              </w:rPr>
            </w:pPr>
            <w:r>
              <w:rPr>
                <w:rFonts w:ascii="Montserrat Light" w:eastAsia="Times New Roman" w:hAnsi="Montserrat Light" w:cs="Times New Roman"/>
                <w:sz w:val="20"/>
                <w:szCs w:val="20"/>
                <w:lang w:val="ro-RO" w:eastAsia="de-DE"/>
              </w:rPr>
              <w:t>Consilier</w:t>
            </w:r>
          </w:p>
        </w:tc>
        <w:tc>
          <w:tcPr>
            <w:tcW w:w="3100" w:type="dxa"/>
            <w:vAlign w:val="center"/>
          </w:tcPr>
          <w:p w14:paraId="43A00C68" w14:textId="73C9E89D" w:rsidR="00DB3B74" w:rsidRPr="000939E0" w:rsidRDefault="00DB3B74" w:rsidP="00DB3B74">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6E08D941" w14:textId="23EDB743" w:rsidR="00DB3B74" w:rsidRPr="00954DDF" w:rsidRDefault="00DB3B74" w:rsidP="00DB3B74">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DB3B74" w:rsidRPr="00954DDF" w14:paraId="2829BF13" w14:textId="77777777" w:rsidTr="001C2074">
        <w:tc>
          <w:tcPr>
            <w:tcW w:w="574" w:type="dxa"/>
            <w:shd w:val="clear" w:color="auto" w:fill="auto"/>
            <w:vAlign w:val="center"/>
          </w:tcPr>
          <w:p w14:paraId="47A447E9" w14:textId="6E367A35" w:rsidR="00DB3B74" w:rsidRDefault="00DB3B74" w:rsidP="00DB3B74">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7</w:t>
            </w:r>
          </w:p>
        </w:tc>
        <w:tc>
          <w:tcPr>
            <w:tcW w:w="1377" w:type="dxa"/>
            <w:shd w:val="clear" w:color="auto" w:fill="auto"/>
            <w:vAlign w:val="center"/>
          </w:tcPr>
          <w:p w14:paraId="046790B9" w14:textId="769D2929" w:rsidR="00DB3B74" w:rsidRPr="00DB3B74" w:rsidRDefault="00DB3B74" w:rsidP="00DB3B74">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DB3B74">
              <w:rPr>
                <w:rFonts w:ascii="Montserrat Light" w:eastAsia="Calibri" w:hAnsi="Montserrat Light" w:cs="Cambria"/>
                <w:sz w:val="20"/>
                <w:szCs w:val="20"/>
                <w:lang w:val="ro-RO" w:eastAsia="de-DE"/>
              </w:rPr>
              <w:t>Membru de rezervă</w:t>
            </w:r>
          </w:p>
        </w:tc>
        <w:tc>
          <w:tcPr>
            <w:tcW w:w="1431" w:type="dxa"/>
            <w:tcBorders>
              <w:bottom w:val="single" w:sz="4" w:space="0" w:color="auto"/>
            </w:tcBorders>
            <w:shd w:val="clear" w:color="auto" w:fill="auto"/>
            <w:vAlign w:val="center"/>
          </w:tcPr>
          <w:p w14:paraId="1427C78D" w14:textId="6905EA48" w:rsidR="00DB3B74" w:rsidRPr="00DB3B74" w:rsidRDefault="00DB3B74" w:rsidP="00DB3B74">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DB3B74">
              <w:rPr>
                <w:rFonts w:ascii="Montserrat Light" w:eastAsia="Calibri" w:hAnsi="Montserrat Light" w:cs="Times New Roman"/>
                <w:sz w:val="20"/>
                <w:szCs w:val="20"/>
                <w:lang w:val="en-US" w:eastAsia="de-DE"/>
              </w:rPr>
              <w:t>Mircea-Dan MURESAN</w:t>
            </w:r>
          </w:p>
        </w:tc>
        <w:tc>
          <w:tcPr>
            <w:tcW w:w="1438" w:type="dxa"/>
            <w:shd w:val="clear" w:color="auto" w:fill="auto"/>
            <w:vAlign w:val="center"/>
          </w:tcPr>
          <w:p w14:paraId="551F247E" w14:textId="4B4414B7" w:rsidR="00DB3B74" w:rsidRDefault="00DB3B74" w:rsidP="00DB3B74">
            <w:pPr>
              <w:spacing w:line="240" w:lineRule="auto"/>
              <w:ind w:right="-87"/>
              <w:jc w:val="center"/>
              <w:rPr>
                <w:rFonts w:ascii="Montserrat Light" w:eastAsia="Times New Roman" w:hAnsi="Montserrat Light" w:cs="Times New Roman"/>
                <w:sz w:val="20"/>
                <w:szCs w:val="20"/>
                <w:lang w:val="ro-RO" w:eastAsia="de-DE"/>
              </w:rPr>
            </w:pPr>
            <w:r>
              <w:rPr>
                <w:rFonts w:ascii="Montserrat Light" w:eastAsia="Times New Roman" w:hAnsi="Montserrat Light" w:cs="Times New Roman"/>
                <w:sz w:val="20"/>
                <w:szCs w:val="20"/>
                <w:lang w:val="ro-RO" w:eastAsia="de-DE"/>
              </w:rPr>
              <w:t>Consilier</w:t>
            </w:r>
          </w:p>
        </w:tc>
        <w:tc>
          <w:tcPr>
            <w:tcW w:w="3100" w:type="dxa"/>
            <w:vAlign w:val="center"/>
          </w:tcPr>
          <w:p w14:paraId="26C7DF6D" w14:textId="0DDB81B5" w:rsidR="00DB3B74" w:rsidRPr="000939E0" w:rsidRDefault="00DB3B74" w:rsidP="00DB3B74">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5CD3106B" w14:textId="390BAC56" w:rsidR="00DB3B74" w:rsidRPr="00954DDF" w:rsidRDefault="00DB3B74" w:rsidP="00DB3B74">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DB3B74" w:rsidRPr="00954DDF" w14:paraId="6CF2470C" w14:textId="77777777" w:rsidTr="00DB3B74">
        <w:trPr>
          <w:trHeight w:val="816"/>
        </w:trPr>
        <w:tc>
          <w:tcPr>
            <w:tcW w:w="574" w:type="dxa"/>
            <w:shd w:val="clear" w:color="auto" w:fill="auto"/>
            <w:vAlign w:val="center"/>
          </w:tcPr>
          <w:p w14:paraId="70F51E37" w14:textId="061F2A6D" w:rsidR="00DB3B74" w:rsidRPr="00954DDF" w:rsidRDefault="00DB3B74" w:rsidP="00DB3B74">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8</w:t>
            </w:r>
          </w:p>
        </w:tc>
        <w:tc>
          <w:tcPr>
            <w:tcW w:w="1377" w:type="dxa"/>
            <w:shd w:val="clear" w:color="auto" w:fill="auto"/>
            <w:vAlign w:val="center"/>
          </w:tcPr>
          <w:p w14:paraId="06952490" w14:textId="77777777" w:rsidR="00DB3B74" w:rsidRPr="00954DDF" w:rsidRDefault="00DB3B74" w:rsidP="00DB3B74">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4" w:space="0" w:color="auto"/>
              <w:right w:val="single" w:sz="8" w:space="0" w:color="auto"/>
            </w:tcBorders>
            <w:vAlign w:val="center"/>
          </w:tcPr>
          <w:p w14:paraId="22A8501A" w14:textId="6F1057FD" w:rsidR="00DB3B74" w:rsidRPr="00954DDF" w:rsidRDefault="00DB3B74" w:rsidP="00DB3B74">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0939E0">
              <w:rPr>
                <w:rFonts w:ascii="Montserrat Light" w:hAnsi="Montserrat Light"/>
                <w:sz w:val="20"/>
                <w:szCs w:val="20"/>
                <w:lang w:eastAsia="de-DE"/>
              </w:rPr>
              <w:t>Adrian-Calin Marian</w:t>
            </w:r>
          </w:p>
        </w:tc>
        <w:tc>
          <w:tcPr>
            <w:tcW w:w="1438" w:type="dxa"/>
            <w:shd w:val="clear" w:color="auto" w:fill="auto"/>
            <w:vAlign w:val="center"/>
          </w:tcPr>
          <w:p w14:paraId="2E15BA3B" w14:textId="35823542" w:rsidR="00DB3B74" w:rsidRPr="00954DDF" w:rsidRDefault="00DB3B74" w:rsidP="00DB3B74">
            <w:pPr>
              <w:spacing w:line="240" w:lineRule="auto"/>
              <w:ind w:right="-87"/>
              <w:jc w:val="center"/>
              <w:rPr>
                <w:rFonts w:ascii="Montserrat Light" w:eastAsia="Calibri" w:hAnsi="Montserrat Light"/>
                <w:sz w:val="20"/>
                <w:szCs w:val="20"/>
                <w:lang w:val="ro-RO"/>
              </w:rPr>
            </w:pPr>
            <w:r>
              <w:rPr>
                <w:rFonts w:ascii="Montserrat Light" w:eastAsia="Times New Roman" w:hAnsi="Montserrat Light" w:cs="Times New Roman"/>
                <w:sz w:val="20"/>
                <w:szCs w:val="20"/>
                <w:lang w:val="ro-RO" w:eastAsia="de-DE"/>
              </w:rPr>
              <w:t>Sef serviciu</w:t>
            </w:r>
          </w:p>
        </w:tc>
        <w:tc>
          <w:tcPr>
            <w:tcW w:w="3100" w:type="dxa"/>
            <w:vAlign w:val="center"/>
          </w:tcPr>
          <w:p w14:paraId="12963989" w14:textId="2DD31A68" w:rsidR="00DB3B74" w:rsidRPr="00954DDF" w:rsidRDefault="00DB3B74" w:rsidP="00DB3B74">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2829F6EA" w14:textId="77777777" w:rsidR="00DB3B74" w:rsidRPr="00954DDF" w:rsidRDefault="00DB3B74" w:rsidP="00DB3B74">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DB3B74" w:rsidRPr="000939E0" w14:paraId="1DD49CD5" w14:textId="77777777" w:rsidTr="007C6182">
        <w:tc>
          <w:tcPr>
            <w:tcW w:w="574" w:type="dxa"/>
            <w:shd w:val="clear" w:color="auto" w:fill="auto"/>
            <w:vAlign w:val="center"/>
          </w:tcPr>
          <w:p w14:paraId="456DBE8B" w14:textId="6863A0FB" w:rsidR="00DB3B74" w:rsidRPr="00954DDF" w:rsidRDefault="00DB3B74" w:rsidP="00DB3B74">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9</w:t>
            </w:r>
          </w:p>
        </w:tc>
        <w:tc>
          <w:tcPr>
            <w:tcW w:w="1377" w:type="dxa"/>
            <w:shd w:val="clear" w:color="auto" w:fill="auto"/>
            <w:vAlign w:val="center"/>
          </w:tcPr>
          <w:p w14:paraId="1E33A427" w14:textId="22FDA293" w:rsidR="00DB3B74" w:rsidRPr="00954DDF" w:rsidRDefault="00DB3B74" w:rsidP="00DB3B74">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0939E0">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8" w:space="0" w:color="auto"/>
              <w:right w:val="single" w:sz="8" w:space="0" w:color="auto"/>
            </w:tcBorders>
            <w:vAlign w:val="center"/>
          </w:tcPr>
          <w:p w14:paraId="3E2D34D9" w14:textId="322395AF" w:rsidR="00DB3B74" w:rsidRDefault="00DB3B74" w:rsidP="00DB3B74">
            <w:pPr>
              <w:autoSpaceDE w:val="0"/>
              <w:autoSpaceDN w:val="0"/>
              <w:adjustRightInd w:val="0"/>
              <w:spacing w:line="240" w:lineRule="auto"/>
              <w:ind w:right="-87"/>
              <w:contextualSpacing/>
              <w:jc w:val="center"/>
              <w:rPr>
                <w:rFonts w:ascii="Montserrat Light" w:hAnsi="Montserrat Light"/>
                <w:sz w:val="20"/>
                <w:szCs w:val="20"/>
                <w:lang w:eastAsia="de-DE"/>
              </w:rPr>
            </w:pPr>
            <w:r w:rsidRPr="000939E0">
              <w:rPr>
                <w:rFonts w:ascii="Montserrat Light" w:hAnsi="Montserrat Light"/>
                <w:sz w:val="20"/>
                <w:szCs w:val="20"/>
                <w:lang w:eastAsia="de-DE"/>
              </w:rPr>
              <w:t>Szasz Ambra Diana</w:t>
            </w:r>
          </w:p>
        </w:tc>
        <w:tc>
          <w:tcPr>
            <w:tcW w:w="1438" w:type="dxa"/>
            <w:shd w:val="clear" w:color="auto" w:fill="auto"/>
            <w:vAlign w:val="center"/>
          </w:tcPr>
          <w:p w14:paraId="67514A03" w14:textId="0D0DD10C" w:rsidR="00DB3B74" w:rsidRDefault="00DB3B74" w:rsidP="00DB3B74">
            <w:pPr>
              <w:spacing w:line="240" w:lineRule="auto"/>
              <w:ind w:right="-87"/>
              <w:jc w:val="center"/>
              <w:rPr>
                <w:rFonts w:ascii="Montserrat Light" w:hAnsi="Montserrat Light"/>
                <w:sz w:val="20"/>
                <w:szCs w:val="20"/>
                <w:lang w:val="ro-RO"/>
              </w:rPr>
            </w:pPr>
            <w:r w:rsidRPr="00954DDF">
              <w:rPr>
                <w:rFonts w:ascii="Montserrat Light" w:eastAsia="Calibri" w:hAnsi="Montserrat Light"/>
                <w:sz w:val="20"/>
                <w:szCs w:val="20"/>
              </w:rPr>
              <w:t>Consilier achiziții publice</w:t>
            </w:r>
          </w:p>
        </w:tc>
        <w:tc>
          <w:tcPr>
            <w:tcW w:w="3100" w:type="dxa"/>
            <w:shd w:val="clear" w:color="auto" w:fill="auto"/>
            <w:vAlign w:val="center"/>
          </w:tcPr>
          <w:p w14:paraId="3491457C" w14:textId="0503D807" w:rsidR="00DB3B74" w:rsidRDefault="00DB3B74" w:rsidP="00DB3B74">
            <w:pPr>
              <w:autoSpaceDE w:val="0"/>
              <w:autoSpaceDN w:val="0"/>
              <w:adjustRightInd w:val="0"/>
              <w:spacing w:line="240" w:lineRule="auto"/>
              <w:ind w:right="-87"/>
              <w:contextualSpacing/>
              <w:jc w:val="center"/>
              <w:rPr>
                <w:rFonts w:ascii="Montserrat Light" w:hAnsi="Montserrat Light"/>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4236B35" w14:textId="7F8348B9" w:rsidR="00DB3B74" w:rsidRPr="000939E0" w:rsidRDefault="00DB3B74" w:rsidP="00DB3B74">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39E0"/>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A6D97"/>
    <w:rsid w:val="002B13CF"/>
    <w:rsid w:val="002B20F9"/>
    <w:rsid w:val="002C04A5"/>
    <w:rsid w:val="002E3E1D"/>
    <w:rsid w:val="002E572E"/>
    <w:rsid w:val="002F3FD2"/>
    <w:rsid w:val="00305BAD"/>
    <w:rsid w:val="00315CE1"/>
    <w:rsid w:val="00317AD9"/>
    <w:rsid w:val="003554BE"/>
    <w:rsid w:val="00356FB5"/>
    <w:rsid w:val="00360E19"/>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2EE6"/>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CCE"/>
    <w:rsid w:val="007A1E44"/>
    <w:rsid w:val="007C76DF"/>
    <w:rsid w:val="007D74E9"/>
    <w:rsid w:val="007E085D"/>
    <w:rsid w:val="007E133B"/>
    <w:rsid w:val="007F38C1"/>
    <w:rsid w:val="00802B66"/>
    <w:rsid w:val="00817A3D"/>
    <w:rsid w:val="00827215"/>
    <w:rsid w:val="008368B0"/>
    <w:rsid w:val="0084461F"/>
    <w:rsid w:val="00845773"/>
    <w:rsid w:val="00852EAE"/>
    <w:rsid w:val="0085587C"/>
    <w:rsid w:val="008632E4"/>
    <w:rsid w:val="00882EBB"/>
    <w:rsid w:val="00886006"/>
    <w:rsid w:val="00893491"/>
    <w:rsid w:val="00893B5D"/>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7740D"/>
    <w:rsid w:val="00A815F4"/>
    <w:rsid w:val="00A91CCF"/>
    <w:rsid w:val="00A93553"/>
    <w:rsid w:val="00AA0AD7"/>
    <w:rsid w:val="00AA46A3"/>
    <w:rsid w:val="00AC46C4"/>
    <w:rsid w:val="00AC5F56"/>
    <w:rsid w:val="00AD076C"/>
    <w:rsid w:val="00AD280C"/>
    <w:rsid w:val="00AD6D1B"/>
    <w:rsid w:val="00AE3037"/>
    <w:rsid w:val="00AF3481"/>
    <w:rsid w:val="00B1174A"/>
    <w:rsid w:val="00B13EFD"/>
    <w:rsid w:val="00B26971"/>
    <w:rsid w:val="00B36E6E"/>
    <w:rsid w:val="00B3767F"/>
    <w:rsid w:val="00B40096"/>
    <w:rsid w:val="00B40611"/>
    <w:rsid w:val="00B47780"/>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71BA"/>
    <w:rsid w:val="00D7250E"/>
    <w:rsid w:val="00D72F91"/>
    <w:rsid w:val="00D75F7B"/>
    <w:rsid w:val="00D8044B"/>
    <w:rsid w:val="00D877E7"/>
    <w:rsid w:val="00DB3B74"/>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48F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930</Words>
  <Characters>5399</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2024-11-07T07:54:00Z</cp:lastPrinted>
  <dcterms:created xsi:type="dcterms:W3CDTF">2024-07-29T06:17:00Z</dcterms:created>
  <dcterms:modified xsi:type="dcterms:W3CDTF">2024-11-07T12:11:00Z</dcterms:modified>
</cp:coreProperties>
</file>