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AE109" w14:textId="5A4A7AF2" w:rsidR="009A4F29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82D07">
        <w:rPr>
          <w:rFonts w:asciiTheme="minorHAnsi" w:hAnsiTheme="minorHAnsi" w:cstheme="minorHAnsi"/>
          <w:b/>
          <w:sz w:val="20"/>
          <w:szCs w:val="20"/>
        </w:rPr>
        <w:t xml:space="preserve">Formulare </w:t>
      </w:r>
      <w:r w:rsidR="00EF4816">
        <w:rPr>
          <w:rFonts w:asciiTheme="minorHAnsi" w:hAnsiTheme="minorHAnsi" w:cstheme="minorHAnsi"/>
          <w:b/>
          <w:sz w:val="20"/>
          <w:szCs w:val="20"/>
        </w:rPr>
        <w:t xml:space="preserve">criteriu privind asigurarea calității cu </w:t>
      </w:r>
      <w:r w:rsidRPr="00D82D07">
        <w:rPr>
          <w:rFonts w:asciiTheme="minorHAnsi" w:hAnsiTheme="minorHAnsi" w:cstheme="minorHAnsi"/>
          <w:b/>
          <w:sz w:val="20"/>
          <w:szCs w:val="20"/>
        </w:rPr>
        <w:t>aplicarea</w:t>
      </w:r>
      <w:r w:rsidR="00EF4816">
        <w:rPr>
          <w:rFonts w:asciiTheme="minorHAnsi" w:hAnsiTheme="minorHAnsi" w:cstheme="minorHAnsi"/>
          <w:b/>
          <w:sz w:val="20"/>
          <w:szCs w:val="20"/>
        </w:rPr>
        <w:t xml:space="preserve"> și a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 prevederilor art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700F">
        <w:rPr>
          <w:rFonts w:asciiTheme="minorHAnsi" w:hAnsiTheme="minorHAnsi" w:cstheme="minorHAnsi"/>
          <w:b/>
          <w:sz w:val="20"/>
          <w:szCs w:val="20"/>
        </w:rPr>
        <w:t>200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 alin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12700F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 din Legea </w:t>
      </w:r>
      <w:r>
        <w:rPr>
          <w:rFonts w:asciiTheme="minorHAnsi" w:hAnsiTheme="minorHAnsi" w:cstheme="minorHAnsi"/>
          <w:b/>
          <w:sz w:val="20"/>
          <w:szCs w:val="20"/>
        </w:rPr>
        <w:t xml:space="preserve">nr. </w:t>
      </w:r>
      <w:r w:rsidRPr="00D82D07">
        <w:rPr>
          <w:rFonts w:asciiTheme="minorHAnsi" w:hAnsiTheme="minorHAnsi" w:cstheme="minorHAnsi"/>
          <w:b/>
          <w:sz w:val="20"/>
          <w:szCs w:val="20"/>
        </w:rPr>
        <w:t xml:space="preserve">98/2016 </w:t>
      </w:r>
    </w:p>
    <w:p w14:paraId="5277FDD2" w14:textId="77777777" w:rsidR="009A4F29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513C53" w14:textId="77777777" w:rsidR="009A4F29" w:rsidRPr="0012700F" w:rsidRDefault="0012700F" w:rsidP="009A4F29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Ofertantul</w:t>
      </w:r>
      <w:r w:rsidR="009A4F29" w:rsidRPr="00D82D07">
        <w:rPr>
          <w:rFonts w:asciiTheme="minorHAnsi" w:hAnsiTheme="minorHAnsi" w:cstheme="minorHAnsi"/>
          <w:sz w:val="20"/>
          <w:szCs w:val="20"/>
        </w:rPr>
        <w:t xml:space="preserve"> (</w:t>
      </w:r>
      <w:r w:rsidR="006B3C57">
        <w:rPr>
          <w:rFonts w:asciiTheme="minorHAnsi" w:hAnsiTheme="minorHAnsi" w:cstheme="minorHAnsi"/>
          <w:sz w:val="20"/>
          <w:szCs w:val="20"/>
        </w:rPr>
        <w:t>Operator Economic</w:t>
      </w:r>
      <w:r w:rsidR="009A4F29" w:rsidRPr="00D82D07">
        <w:rPr>
          <w:rFonts w:asciiTheme="minorHAnsi" w:hAnsiTheme="minorHAnsi" w:cstheme="minorHAnsi"/>
          <w:sz w:val="20"/>
          <w:szCs w:val="20"/>
        </w:rPr>
        <w:t xml:space="preserve"> individual sau asociere de </w:t>
      </w:r>
      <w:r w:rsidR="006B3C57">
        <w:rPr>
          <w:rFonts w:asciiTheme="minorHAnsi" w:hAnsiTheme="minorHAnsi" w:cstheme="minorHAnsi"/>
          <w:sz w:val="20"/>
          <w:szCs w:val="20"/>
        </w:rPr>
        <w:t>Operatori Economici</w:t>
      </w:r>
      <w:r>
        <w:rPr>
          <w:rFonts w:asciiTheme="minorHAnsi" w:hAnsiTheme="minorHAnsi" w:cstheme="minorHAnsi"/>
          <w:sz w:val="20"/>
          <w:szCs w:val="20"/>
        </w:rPr>
        <w:t>) demonstrează că deține certificări specifice care atestă respectarea de către ace</w:t>
      </w:r>
      <w:r w:rsidR="00F90380">
        <w:rPr>
          <w:rFonts w:asciiTheme="minorHAnsi" w:hAnsiTheme="minorHAnsi" w:cstheme="minorHAnsi"/>
          <w:sz w:val="20"/>
          <w:szCs w:val="20"/>
        </w:rPr>
        <w:t>sta a standardului</w:t>
      </w:r>
      <w:r>
        <w:rPr>
          <w:rFonts w:asciiTheme="minorHAnsi" w:hAnsiTheme="minorHAnsi" w:cstheme="minorHAnsi"/>
          <w:sz w:val="20"/>
          <w:szCs w:val="20"/>
        </w:rPr>
        <w:t xml:space="preserve"> de asigurare a calității </w:t>
      </w:r>
      <w:r w:rsidRPr="0017609C">
        <w:rPr>
          <w:rFonts w:cs="Calibri"/>
          <w:i/>
          <w:sz w:val="20"/>
          <w:highlight w:val="lightGray"/>
        </w:rPr>
        <w:t>[introduceți standardul]</w:t>
      </w:r>
      <w:r>
        <w:rPr>
          <w:rFonts w:cs="Calibri"/>
        </w:rPr>
        <w:t>.</w:t>
      </w:r>
    </w:p>
    <w:p w14:paraId="27843098" w14:textId="77777777" w:rsidR="009A4F29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548F50A" w14:textId="77777777"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>Ca dovadă preliminar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D82D07">
        <w:rPr>
          <w:rFonts w:asciiTheme="minorHAnsi" w:hAnsiTheme="minorHAnsi" w:cstheme="minorHAnsi"/>
          <w:sz w:val="20"/>
          <w:szCs w:val="20"/>
        </w:rPr>
        <w:t xml:space="preserve"> pentru demonstrarea îndeplinirii cerinței</w:t>
      </w:r>
      <w:r>
        <w:rPr>
          <w:rFonts w:asciiTheme="minorHAnsi" w:hAnsiTheme="minorHAnsi" w:cstheme="minorHAnsi"/>
          <w:sz w:val="20"/>
          <w:szCs w:val="20"/>
        </w:rPr>
        <w:t xml:space="preserve"> minime</w:t>
      </w:r>
      <w:r w:rsidRPr="00D82D07">
        <w:rPr>
          <w:rFonts w:asciiTheme="minorHAnsi" w:hAnsiTheme="minorHAnsi" w:cstheme="minorHAnsi"/>
          <w:sz w:val="20"/>
          <w:szCs w:val="20"/>
        </w:rPr>
        <w:t xml:space="preserve">, Ofertantul trebuie să </w:t>
      </w:r>
      <w:r>
        <w:rPr>
          <w:rFonts w:asciiTheme="minorHAnsi" w:hAnsiTheme="minorHAnsi" w:cstheme="minorHAnsi"/>
          <w:sz w:val="20"/>
          <w:szCs w:val="20"/>
        </w:rPr>
        <w:t xml:space="preserve">utilizeze Partea IV. Criterii de selecție, Secțiunea </w:t>
      </w:r>
      <w:r w:rsidR="0012700F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12700F" w:rsidRPr="0012700F">
        <w:rPr>
          <w:rFonts w:asciiTheme="minorHAnsi" w:hAnsiTheme="minorHAnsi" w:cstheme="minorHAnsi"/>
          <w:sz w:val="20"/>
          <w:szCs w:val="20"/>
        </w:rPr>
        <w:t>Sisteme de asigurare a calității și standarde de management de mediu</w:t>
      </w:r>
      <w:r>
        <w:rPr>
          <w:rFonts w:asciiTheme="minorHAnsi" w:hAnsiTheme="minorHAnsi" w:cstheme="minorHAnsi"/>
          <w:sz w:val="20"/>
          <w:szCs w:val="20"/>
        </w:rPr>
        <w:t xml:space="preserve"> în </w:t>
      </w:r>
      <w:r w:rsidRPr="00D82D07">
        <w:rPr>
          <w:rFonts w:asciiTheme="minorHAnsi" w:hAnsiTheme="minorHAnsi" w:cstheme="minorHAnsi"/>
          <w:sz w:val="20"/>
          <w:szCs w:val="20"/>
        </w:rPr>
        <w:t>DUAE (răspuns)</w:t>
      </w:r>
      <w:r>
        <w:rPr>
          <w:rFonts w:asciiTheme="minorHAnsi" w:hAnsiTheme="minorHAnsi" w:cstheme="minorHAnsi"/>
          <w:sz w:val="20"/>
          <w:szCs w:val="20"/>
        </w:rPr>
        <w:t xml:space="preserve"> rubrica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="0012700F" w:rsidRPr="0012700F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Certificate emise de organisme independente cu privire la stand</w:t>
      </w:r>
      <w:r w:rsidR="0012700F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ardele de asigurare a calității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</w:t>
      </w:r>
      <w:r w:rsidR="0012700F">
        <w:rPr>
          <w:rFonts w:asciiTheme="minorHAnsi" w:hAnsiTheme="minorHAnsi" w:cstheme="minorHAnsi"/>
          <w:sz w:val="20"/>
          <w:szCs w:val="20"/>
        </w:rPr>
        <w:t>.</w:t>
      </w:r>
    </w:p>
    <w:p w14:paraId="2AED2E7E" w14:textId="77777777" w:rsidR="009A4F29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681D518B" w14:textId="77777777" w:rsidR="009A4F29" w:rsidRDefault="00F90380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cazul în care răspunsul Ofertantului este ”Nu”, 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Operatorul Economic</w:t>
      </w:r>
      <w:r w:rsidR="009A4F29" w:rsidRPr="00654162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Ofertant completează în DUAE (răspuns), utilizând formatul pus la dispoziție de Autoritatea Contractantă</w:t>
      </w:r>
      <w:r w:rsidR="009A4F2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în câmpul </w:t>
      </w:r>
      <w:r w:rsidR="009A4F29" w:rsidRPr="00D82D0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"</w:t>
      </w:r>
      <w:r w:rsidRPr="00F90380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Dacă nu, vă rugăm să explicați de ce și să precizați ce alte mijloace de probă privind sistemul de asigurare a calității pot fi furnizate</w:t>
      </w:r>
      <w:r w:rsidR="009A4F29" w:rsidRPr="00D82D0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>"</w:t>
      </w:r>
      <w:r w:rsidR="009A4F29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  <w:t xml:space="preserve"> </w:t>
      </w:r>
      <w:r w:rsidR="009A4F2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cel puțin:</w:t>
      </w:r>
    </w:p>
    <w:p w14:paraId="47CE1D0F" w14:textId="77777777" w:rsidR="009A4F29" w:rsidRPr="00BF0CA5" w:rsidRDefault="00F90380" w:rsidP="009A4F29">
      <w:pPr>
        <w:pStyle w:val="Listparagraf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motivul pentru care Operatorul Economic Ofertant nu poate să prezinte certificări care să ateste respectarea de către acesta a </w:t>
      </w:r>
      <w:r>
        <w:rPr>
          <w:rFonts w:asciiTheme="minorHAnsi" w:hAnsiTheme="minorHAnsi" w:cstheme="minorHAnsi"/>
          <w:sz w:val="20"/>
          <w:szCs w:val="20"/>
        </w:rPr>
        <w:t xml:space="preserve">standardului de asigurare a calității </w:t>
      </w:r>
      <w:r w:rsidRPr="0017609C">
        <w:rPr>
          <w:rFonts w:cs="Calibri"/>
          <w:i/>
          <w:sz w:val="20"/>
          <w:highlight w:val="lightGray"/>
        </w:rPr>
        <w:t>[introduceți standardul]</w:t>
      </w:r>
      <w:r w:rsidR="009A4F29">
        <w:rPr>
          <w:rFonts w:asciiTheme="minorHAnsi" w:hAnsiTheme="minorHAnsi" w:cstheme="minorHAnsi"/>
          <w:sz w:val="20"/>
          <w:szCs w:val="20"/>
        </w:rPr>
        <w:t>;</w:t>
      </w:r>
    </w:p>
    <w:p w14:paraId="493DA0F0" w14:textId="77777777" w:rsidR="009A4F29" w:rsidRPr="00BF0CA5" w:rsidRDefault="009A4F29" w:rsidP="009A4F29">
      <w:pPr>
        <w:pStyle w:val="Listparagraf"/>
        <w:widowControl w:val="0"/>
        <w:numPr>
          <w:ilvl w:val="0"/>
          <w:numId w:val="1"/>
        </w:num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 xml:space="preserve">informații despre </w:t>
      </w:r>
      <w:r w:rsidR="00F90380">
        <w:rPr>
          <w:rFonts w:eastAsia="Times New Roman"/>
          <w:bCs/>
          <w:iCs/>
          <w:sz w:val="20"/>
          <w:szCs w:val="20"/>
          <w:lang w:eastAsia="ro-RO"/>
        </w:rPr>
        <w:t>ce alte mijloace de probă privind sistemul de asigurare a calității pot fi furnizate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C5404E2" w14:textId="77777777" w:rsidR="00F90380" w:rsidRDefault="00F90380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E4C28F2" w14:textId="77777777"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Cerința mai sus menționată este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obligatorie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și se evaluează: CERINȚĂ ÎNDEPLINITĂ/CERINȚĂ NEÎNDEPLINITĂ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utiliz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â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nd ca referințe:</w:t>
      </w:r>
    </w:p>
    <w:p w14:paraId="6ACB9365" w14:textId="77777777" w:rsidR="009A4F29" w:rsidRPr="00D82D07" w:rsidRDefault="009A4F29" w:rsidP="00F90380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descrierea din F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a de Date a Achiziției – secțiunea III.2.3.</w:t>
      </w:r>
      <w:r w:rsidR="00F9038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b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) </w:t>
      </w:r>
      <w:r w:rsidR="00F90380" w:rsidRPr="00F9038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Standarde de asigurare a calității </w:t>
      </w:r>
      <w:r w:rsidR="00F9038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ș</w:t>
      </w:r>
      <w:r w:rsidR="00F90380" w:rsidRPr="00F9038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 de protecția mediului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 paragraful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</w:t>
      </w:r>
      <w:r w:rsidR="00F9038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Standarde de asigurare a calității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</w:t>
      </w:r>
    </w:p>
    <w:p w14:paraId="1EE26E79" w14:textId="77777777" w:rsidR="009A4F29" w:rsidRPr="00D82D07" w:rsidRDefault="009A4F29" w:rsidP="009A4F29">
      <w:pPr>
        <w:pStyle w:val="Listparagraf"/>
        <w:widowControl w:val="0"/>
        <w:numPr>
          <w:ilvl w:val="0"/>
          <w:numId w:val="2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informațiile furnizate de </w:t>
      </w:r>
      <w:r w:rsidR="006B3C5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</w:p>
    <w:p w14:paraId="6FB4D745" w14:textId="77777777" w:rsidR="009A4F29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în aplicarea prevederilor art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.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193, alin. (1) din Legea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nr. 98/2016 ș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 art. 132, alin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.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(1) din HG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nr. 395/2016, î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n etapa de verificare a modului de îndeplinire a cerințelor minime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,</w:t>
      </w:r>
    </w:p>
    <w:p w14:paraId="07B35E91" w14:textId="77777777" w:rsidR="009A4F29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respectiv,</w:t>
      </w:r>
    </w:p>
    <w:p w14:paraId="073F94C1" w14:textId="77777777" w:rsidR="009A4F29" w:rsidRPr="00D82D07" w:rsidRDefault="009A4F29" w:rsidP="009A4F29">
      <w:pPr>
        <w:pStyle w:val="Listparagraf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informațiile furnizate d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e </w:t>
      </w:r>
      <w:r w:rsidR="006B3C5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(răspuns)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</w:t>
      </w:r>
    </w:p>
    <w:p w14:paraId="2D3A6CCF" w14:textId="77777777" w:rsidR="009A4F29" w:rsidRPr="00D82D07" w:rsidRDefault="009A4F29" w:rsidP="009A4F29">
      <w:pPr>
        <w:pStyle w:val="Listparagraf"/>
        <w:widowControl w:val="0"/>
        <w:numPr>
          <w:ilvl w:val="0"/>
          <w:numId w:val="3"/>
        </w:numPr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documentele </w:t>
      </w:r>
      <w:r w:rsidR="006B3C5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justificative 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furnizate de </w:t>
      </w:r>
      <w:r w:rsidR="006B3C5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Ofertant pentru informațiile incluse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DUAE (răspuns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),</w:t>
      </w:r>
    </w:p>
    <w:p w14:paraId="356CF99F" w14:textId="77777777" w:rsidR="009A4F29" w:rsidRPr="00EF4D16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EF4D16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n aplicarea prevederilor art. 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196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din Legea nr. 98/2016 ș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i art. 132, alin. (2) din HG 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nr. </w:t>
      </w:r>
      <w:r w:rsidRPr="00EF4D16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3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95/2016.</w:t>
      </w:r>
    </w:p>
    <w:p w14:paraId="30B119FC" w14:textId="77777777" w:rsidR="009A4F29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53EAE7E" w14:textId="0AEA1667" w:rsidR="009A4F29" w:rsidRPr="00D82D07" w:rsidRDefault="00060C50" w:rsidP="009A4F29">
      <w:pPr>
        <w:widowControl w:val="0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9A4F29" w:rsidRPr="00D82D07">
        <w:rPr>
          <w:rFonts w:asciiTheme="minorHAnsi" w:hAnsiTheme="minorHAnsi" w:cstheme="minorHAnsi"/>
          <w:sz w:val="20"/>
          <w:szCs w:val="20"/>
        </w:rPr>
        <w:t xml:space="preserve">rice </w:t>
      </w:r>
      <w:r w:rsidR="006B3C57">
        <w:rPr>
          <w:rFonts w:asciiTheme="minorHAnsi" w:hAnsiTheme="minorHAnsi" w:cstheme="minorHAnsi"/>
          <w:sz w:val="20"/>
          <w:szCs w:val="20"/>
        </w:rPr>
        <w:t>Operator Economic</w:t>
      </w:r>
      <w:r w:rsidR="009A4F29">
        <w:rPr>
          <w:rFonts w:asciiTheme="minorHAnsi" w:hAnsiTheme="minorHAnsi" w:cstheme="minorHAnsi"/>
          <w:sz w:val="20"/>
          <w:szCs w:val="20"/>
        </w:rPr>
        <w:t xml:space="preserve"> Ofertant are dreptul să participe </w:t>
      </w:r>
      <w:r w:rsidR="009A4F29" w:rsidRPr="00D82D07">
        <w:rPr>
          <w:rFonts w:asciiTheme="minorHAnsi" w:hAnsiTheme="minorHAnsi" w:cstheme="minorHAnsi"/>
          <w:sz w:val="20"/>
          <w:szCs w:val="20"/>
        </w:rPr>
        <w:t>în comun</w:t>
      </w:r>
      <w:r w:rsidR="009A4F29">
        <w:rPr>
          <w:rFonts w:asciiTheme="minorHAnsi" w:hAnsiTheme="minorHAnsi" w:cstheme="minorHAnsi"/>
          <w:sz w:val="20"/>
          <w:szCs w:val="20"/>
        </w:rPr>
        <w:t xml:space="preserve"> cu alți </w:t>
      </w:r>
      <w:r w:rsidR="006B3C57">
        <w:rPr>
          <w:rFonts w:asciiTheme="minorHAnsi" w:hAnsiTheme="minorHAnsi" w:cstheme="minorHAnsi"/>
          <w:sz w:val="20"/>
          <w:szCs w:val="20"/>
        </w:rPr>
        <w:t>Operatori Economici la Procedura de A</w:t>
      </w:r>
      <w:r w:rsidR="009A4F29">
        <w:rPr>
          <w:rFonts w:asciiTheme="minorHAnsi" w:hAnsiTheme="minorHAnsi" w:cstheme="minorHAnsi"/>
          <w:sz w:val="20"/>
          <w:szCs w:val="20"/>
        </w:rPr>
        <w:t>tribuire, î</w:t>
      </w:r>
      <w:r w:rsidR="009A4F29" w:rsidRPr="00D82D07">
        <w:rPr>
          <w:rFonts w:asciiTheme="minorHAnsi" w:hAnsiTheme="minorHAnsi" w:cstheme="minorHAnsi"/>
          <w:sz w:val="20"/>
          <w:szCs w:val="20"/>
        </w:rPr>
        <w:t xml:space="preserve">n condițiile art. 53 din Legea </w:t>
      </w:r>
      <w:r w:rsidR="009A4F29">
        <w:rPr>
          <w:rFonts w:asciiTheme="minorHAnsi" w:hAnsiTheme="minorHAnsi" w:cstheme="minorHAnsi"/>
          <w:sz w:val="20"/>
          <w:szCs w:val="20"/>
        </w:rPr>
        <w:t xml:space="preserve">nr. </w:t>
      </w:r>
      <w:r w:rsidR="009A4F29" w:rsidRPr="00D82D07">
        <w:rPr>
          <w:rFonts w:asciiTheme="minorHAnsi" w:hAnsiTheme="minorHAnsi" w:cstheme="minorHAnsi"/>
          <w:sz w:val="20"/>
          <w:szCs w:val="20"/>
        </w:rPr>
        <w:t>98/2016</w:t>
      </w:r>
      <w:r w:rsidR="009A4F29">
        <w:rPr>
          <w:rFonts w:asciiTheme="minorHAnsi" w:hAnsiTheme="minorHAnsi" w:cstheme="minorHAnsi"/>
          <w:sz w:val="20"/>
          <w:szCs w:val="20"/>
        </w:rPr>
        <w:t>.</w:t>
      </w:r>
    </w:p>
    <w:p w14:paraId="20B8D85D" w14:textId="77777777" w:rsidR="009A4F29" w:rsidRPr="00D82D07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6E51314A" w14:textId="77777777" w:rsidR="009A4F29" w:rsidRPr="00060C50" w:rsidRDefault="009A4F29" w:rsidP="009A4F29">
      <w:pPr>
        <w:widowControl w:val="0"/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60C50">
        <w:rPr>
          <w:rFonts w:asciiTheme="minorHAnsi" w:hAnsiTheme="minorHAnsi" w:cstheme="minorHAnsi"/>
          <w:sz w:val="20"/>
          <w:szCs w:val="20"/>
        </w:rPr>
        <w:t xml:space="preserve">În cazul în care un </w:t>
      </w:r>
      <w:r w:rsidR="006B3C57" w:rsidRPr="00060C50">
        <w:rPr>
          <w:rFonts w:asciiTheme="minorHAnsi" w:hAnsiTheme="minorHAnsi" w:cstheme="minorHAnsi"/>
          <w:sz w:val="20"/>
          <w:szCs w:val="20"/>
        </w:rPr>
        <w:t>Operator Economic</w:t>
      </w:r>
      <w:r w:rsidRPr="00060C50">
        <w:rPr>
          <w:rFonts w:asciiTheme="minorHAnsi" w:hAnsiTheme="minorHAnsi" w:cstheme="minorHAnsi"/>
          <w:sz w:val="20"/>
          <w:szCs w:val="20"/>
        </w:rPr>
        <w:t xml:space="preserve"> Ofertant își exercită dreptul de a participa în comun cu alți </w:t>
      </w:r>
      <w:r w:rsidR="006B3C57" w:rsidRPr="00060C50">
        <w:rPr>
          <w:rFonts w:asciiTheme="minorHAnsi" w:hAnsiTheme="minorHAnsi" w:cstheme="minorHAnsi"/>
          <w:sz w:val="20"/>
          <w:szCs w:val="20"/>
        </w:rPr>
        <w:t>Operatori Economici</w:t>
      </w:r>
      <w:r w:rsidRPr="00060C50">
        <w:rPr>
          <w:rFonts w:asciiTheme="minorHAnsi" w:hAnsiTheme="minorHAnsi" w:cstheme="minorHAnsi"/>
          <w:sz w:val="20"/>
          <w:szCs w:val="20"/>
        </w:rPr>
        <w:t xml:space="preserve"> la </w:t>
      </w:r>
      <w:r w:rsidR="006B3C57" w:rsidRPr="00060C50">
        <w:rPr>
          <w:rFonts w:asciiTheme="minorHAnsi" w:hAnsiTheme="minorHAnsi" w:cstheme="minorHAnsi"/>
          <w:sz w:val="20"/>
          <w:szCs w:val="20"/>
        </w:rPr>
        <w:t>P</w:t>
      </w:r>
      <w:r w:rsidRPr="00060C50">
        <w:rPr>
          <w:rFonts w:asciiTheme="minorHAnsi" w:hAnsiTheme="minorHAnsi" w:cstheme="minorHAnsi"/>
          <w:sz w:val="20"/>
          <w:szCs w:val="20"/>
        </w:rPr>
        <w:t xml:space="preserve">rocedura de </w:t>
      </w:r>
      <w:r w:rsidR="006B3C57" w:rsidRPr="00060C50">
        <w:rPr>
          <w:rFonts w:asciiTheme="minorHAnsi" w:hAnsiTheme="minorHAnsi" w:cstheme="minorHAnsi"/>
          <w:sz w:val="20"/>
          <w:szCs w:val="20"/>
        </w:rPr>
        <w:t>A</w:t>
      </w:r>
      <w:r w:rsidRPr="00060C50">
        <w:rPr>
          <w:rFonts w:asciiTheme="minorHAnsi" w:hAnsiTheme="minorHAnsi" w:cstheme="minorHAnsi"/>
          <w:sz w:val="20"/>
          <w:szCs w:val="20"/>
        </w:rPr>
        <w:t xml:space="preserve">tribuire, în condițiile art. 53 din Legea nr. 98/2016, pentru a demonstra </w:t>
      </w:r>
      <w:r w:rsidRPr="00060C50">
        <w:rPr>
          <w:rFonts w:asciiTheme="minorHAnsi" w:hAnsiTheme="minorHAnsi" w:cstheme="minorHAnsi"/>
          <w:sz w:val="20"/>
          <w:szCs w:val="20"/>
        </w:rPr>
        <w:lastRenderedPageBreak/>
        <w:t xml:space="preserve">îndeplinirea cerinței minime, atunci acesta trebuie: </w:t>
      </w:r>
    </w:p>
    <w:p w14:paraId="3BDCC4FE" w14:textId="77777777" w:rsidR="009A4F29" w:rsidRPr="00060C50" w:rsidRDefault="009A4F29" w:rsidP="009A4F29">
      <w:pPr>
        <w:pStyle w:val="Listparagraf"/>
        <w:widowControl w:val="0"/>
        <w:numPr>
          <w:ilvl w:val="0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60C50">
        <w:rPr>
          <w:rFonts w:asciiTheme="minorHAnsi" w:hAnsiTheme="minorHAnsi" w:cstheme="minorHAnsi"/>
          <w:sz w:val="20"/>
          <w:szCs w:val="20"/>
        </w:rPr>
        <w:t xml:space="preserve">să transmită împreună cu Oferta, până la termenul limită comunicat pentru </w:t>
      </w:r>
      <w:r w:rsidR="006B3C57" w:rsidRPr="00060C50">
        <w:rPr>
          <w:rFonts w:asciiTheme="minorHAnsi" w:hAnsiTheme="minorHAnsi" w:cstheme="minorHAnsi"/>
          <w:sz w:val="20"/>
          <w:szCs w:val="20"/>
        </w:rPr>
        <w:t>depunerea</w:t>
      </w:r>
      <w:r w:rsidRPr="00060C50">
        <w:rPr>
          <w:rFonts w:asciiTheme="minorHAnsi" w:hAnsiTheme="minorHAnsi" w:cstheme="minorHAnsi"/>
          <w:sz w:val="20"/>
          <w:szCs w:val="20"/>
        </w:rPr>
        <w:t xml:space="preserve"> Ofertei următoarele:</w:t>
      </w:r>
    </w:p>
    <w:p w14:paraId="1F7E0756" w14:textId="77777777" w:rsidR="009A4F29" w:rsidRPr="00060C50" w:rsidRDefault="009A4F29" w:rsidP="009A4F29">
      <w:pPr>
        <w:pStyle w:val="Listparagraf"/>
        <w:widowControl w:val="0"/>
        <w:numPr>
          <w:ilvl w:val="1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60C50">
        <w:rPr>
          <w:rFonts w:asciiTheme="minorHAnsi" w:hAnsiTheme="minorHAnsi" w:cstheme="minorHAnsi"/>
          <w:sz w:val="20"/>
          <w:szCs w:val="20"/>
        </w:rPr>
        <w:t>Acordul de asociere;</w:t>
      </w:r>
    </w:p>
    <w:p w14:paraId="40EC3786" w14:textId="77777777" w:rsidR="009A4F29" w:rsidRPr="00060C50" w:rsidRDefault="009A4F29" w:rsidP="0017609C">
      <w:pPr>
        <w:pStyle w:val="Listparagraf"/>
        <w:widowControl w:val="0"/>
        <w:numPr>
          <w:ilvl w:val="1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60C50">
        <w:rPr>
          <w:rFonts w:asciiTheme="minorHAnsi" w:hAnsiTheme="minorHAnsi" w:cstheme="minorHAnsi"/>
          <w:sz w:val="20"/>
          <w:szCs w:val="20"/>
        </w:rPr>
        <w:t xml:space="preserve">un formular DUAE (răspuns) separat pentru </w:t>
      </w:r>
      <w:r w:rsidR="006B3C57" w:rsidRPr="00060C50">
        <w:rPr>
          <w:rFonts w:asciiTheme="minorHAnsi" w:hAnsiTheme="minorHAnsi" w:cstheme="minorHAnsi"/>
          <w:sz w:val="20"/>
          <w:szCs w:val="20"/>
        </w:rPr>
        <w:t>Operatorul Economic</w:t>
      </w:r>
      <w:r w:rsidRPr="00060C50">
        <w:rPr>
          <w:rFonts w:asciiTheme="minorHAnsi" w:hAnsiTheme="minorHAnsi" w:cstheme="minorHAnsi"/>
          <w:sz w:val="20"/>
          <w:szCs w:val="20"/>
        </w:rPr>
        <w:t xml:space="preserve"> cu care participă la această procedură,</w:t>
      </w:r>
      <w:r w:rsidRPr="00060C5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care să cuprindă informațiile solicitate în Partea I, Partea II (Secțiunile A și B), Partea III, Partea IV: </w:t>
      </w:r>
      <w:r w:rsidR="0017609C" w:rsidRPr="00060C50">
        <w:rPr>
          <w:rFonts w:asciiTheme="minorHAnsi" w:hAnsiTheme="minorHAnsi" w:cstheme="minorHAnsi"/>
          <w:sz w:val="20"/>
          <w:szCs w:val="20"/>
        </w:rPr>
        <w:t>Criterii de selecție, Secțiunea D: Sisteme de asigurare a calității și standarde de management de mediu</w:t>
      </w:r>
      <w:r w:rsidRPr="00060C5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rubrica "</w:t>
      </w:r>
      <w:r w:rsidR="0017609C" w:rsidRPr="00060C5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Certificate emise de organisme independente cu privire la standardele de asigurare a calității</w:t>
      </w:r>
      <w:r w:rsidRPr="00060C50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", </w:t>
      </w:r>
      <w:r w:rsidRPr="00060C5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completat și semnat în mod corespunzător de </w:t>
      </w:r>
      <w:r w:rsidR="006B3C57" w:rsidRPr="00060C5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Operatorul Economic</w:t>
      </w:r>
      <w:r w:rsidRPr="00060C50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 xml:space="preserve"> cu care prezintă Oferta în asociere. </w:t>
      </w:r>
    </w:p>
    <w:p w14:paraId="411ADBE2" w14:textId="77777777" w:rsidR="009A4F29" w:rsidRPr="00060C50" w:rsidRDefault="009A4F29" w:rsidP="009A4F29">
      <w:pPr>
        <w:pStyle w:val="Listparagraf"/>
        <w:widowControl w:val="0"/>
        <w:numPr>
          <w:ilvl w:val="0"/>
          <w:numId w:val="5"/>
        </w:numPr>
        <w:shd w:val="clear" w:color="auto" w:fill="FFFFFF"/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60C50">
        <w:rPr>
          <w:rFonts w:asciiTheme="minorHAnsi" w:hAnsiTheme="minorHAnsi" w:cstheme="minorHAnsi"/>
          <w:sz w:val="20"/>
          <w:szCs w:val="20"/>
        </w:rPr>
        <w:t xml:space="preserve">Să marcheze „Da” în propriul DUAE (răspuns), Partea II: Informații referitoare la operatorul economic, Secțiunea A: Informații privind operatorul economic la rubrica „Operatorul economic participă la procedura de achiziții publice împreună cu alții?” și să completeze informațiile suplimentare solicitate în acest sens. </w:t>
      </w:r>
    </w:p>
    <w:p w14:paraId="3E723C87" w14:textId="77777777" w:rsidR="009A4F29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F88CF33" w14:textId="77777777" w:rsidR="009A4F29" w:rsidRPr="00D82D07" w:rsidRDefault="009A4F29" w:rsidP="009A4F29">
      <w:pPr>
        <w:spacing w:after="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D82D07">
        <w:rPr>
          <w:rFonts w:asciiTheme="minorHAnsi" w:hAnsiTheme="minorHAnsi" w:cstheme="minorHAnsi"/>
          <w:sz w:val="20"/>
          <w:szCs w:val="20"/>
        </w:rPr>
        <w:t xml:space="preserve">În cazul în care Ofertantul este o asociere de </w:t>
      </w:r>
      <w:r w:rsidR="006B3C57">
        <w:rPr>
          <w:rFonts w:asciiTheme="minorHAnsi" w:hAnsiTheme="minorHAnsi" w:cstheme="minorHAnsi"/>
          <w:sz w:val="20"/>
          <w:szCs w:val="20"/>
        </w:rPr>
        <w:t>Operatori Economici</w:t>
      </w:r>
      <w:r w:rsidRPr="00D82D07">
        <w:rPr>
          <w:rFonts w:asciiTheme="minorHAnsi" w:hAnsiTheme="minorHAnsi" w:cstheme="minorHAnsi"/>
          <w:sz w:val="20"/>
          <w:szCs w:val="20"/>
        </w:rPr>
        <w:t xml:space="preserve">, fiecare membru al asocierii trebuie să demonstreze individual că </w:t>
      </w:r>
      <w:r w:rsidR="0017609C">
        <w:rPr>
          <w:rFonts w:asciiTheme="minorHAnsi" w:hAnsiTheme="minorHAnsi" w:cstheme="minorHAnsi"/>
          <w:sz w:val="20"/>
          <w:szCs w:val="20"/>
        </w:rPr>
        <w:t xml:space="preserve">deține certificări specifice care atestă respectarea de către acesta a standardului de asigurare a calității </w:t>
      </w:r>
      <w:r w:rsidR="0017609C" w:rsidRPr="0017609C">
        <w:rPr>
          <w:rFonts w:cs="Calibri"/>
          <w:i/>
          <w:sz w:val="20"/>
          <w:highlight w:val="lightGray"/>
        </w:rPr>
        <w:t>[introduceți standardul]</w:t>
      </w:r>
      <w:r w:rsidR="006B3C57">
        <w:rPr>
          <w:rFonts w:asciiTheme="minorHAnsi" w:hAnsiTheme="minorHAnsi" w:cstheme="minorHAnsi"/>
          <w:sz w:val="20"/>
          <w:szCs w:val="20"/>
        </w:rPr>
        <w:t>, pentru partea din C</w:t>
      </w:r>
      <w:r w:rsidRPr="00D82D07">
        <w:rPr>
          <w:rFonts w:asciiTheme="minorHAnsi" w:hAnsiTheme="minorHAnsi" w:cstheme="minorHAnsi"/>
          <w:sz w:val="20"/>
          <w:szCs w:val="20"/>
        </w:rPr>
        <w:t>ontract pe care o va îndeplini.</w:t>
      </w:r>
    </w:p>
    <w:p w14:paraId="7E81AE4A" w14:textId="77777777"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</w:pPr>
    </w:p>
    <w:p w14:paraId="0C128552" w14:textId="77777777" w:rsidR="00DB59C5" w:rsidRPr="00D82D07" w:rsidRDefault="00DB59C5" w:rsidP="00DB59C5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La solicitarea expresă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a Autorității Contractante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ș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aplicarea prevederilor art. 196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din Legea nr. 98/2016, </w:t>
      </w:r>
      <w:r>
        <w:rPr>
          <w:rFonts w:asciiTheme="minorHAnsi" w:hAnsiTheme="minorHAnsi" w:cstheme="minorHAnsi"/>
          <w:sz w:val="20"/>
          <w:szCs w:val="20"/>
        </w:rPr>
        <w:t>transmisă ca urmare a finalizării procesului de evaluare și întocmirea clasamentului ofertelor admisibile pe baza aplicării criteriului de atribuire</w:t>
      </w:r>
      <w:r w:rsidRPr="001962C9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, Ofertantul (Operator Economic individual sau membru al asocierii)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aflat pe primul loc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trebuie să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fie în măsură sa prezinte documente care să probeze toate afirmațiile incluse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 DUAE (răspuns) la rubrica "</w:t>
      </w:r>
      <w:r w:rsidRPr="001760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Certificate emise de organisme independente cu privire la stand</w:t>
      </w:r>
      <w:r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ardele de asigurare a calității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".</w:t>
      </w:r>
    </w:p>
    <w:p w14:paraId="1FD6DA34" w14:textId="77777777"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07DCA12" w14:textId="77777777" w:rsidR="009A4F29" w:rsidRPr="00D82D07" w:rsidRDefault="009A4F29" w:rsidP="009A4F29">
      <w:pPr>
        <w:spacing w:after="0" w:line="360" w:lineRule="exact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Documentele suport includ</w:t>
      </w:r>
      <w:r w:rsidR="00BB7EF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dar nu se limitează la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</w:t>
      </w:r>
      <w:r w:rsidR="001760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</w:t>
      </w:r>
      <w:r w:rsidR="0017609C" w:rsidRPr="001760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ertificate emise de organisme independente cu privire la stand</w:t>
      </w:r>
      <w:r w:rsidR="0017609C">
        <w:rPr>
          <w:rFonts w:asciiTheme="minorHAnsi" w:eastAsia="Times New Roman" w:hAnsiTheme="minorHAnsi" w:cstheme="minorHAnsi"/>
          <w:iCs/>
          <w:sz w:val="20"/>
          <w:szCs w:val="20"/>
          <w:lang w:eastAsia="ro-RO"/>
        </w:rPr>
        <w:t>ardul de asigurare a calității solicitat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sau alte dovezi </w:t>
      </w:r>
      <w:r w:rsidR="0017609C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 care Ofertantul le consideră relevante sau le-a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nominalizat în DUAE (răspuns) ca document</w:t>
      </w:r>
      <w:r w:rsidR="00BB7EF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suport pentru </w:t>
      </w:r>
      <w:r w:rsidR="00BB7EFD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informațiile incluse în DUAE (răspuns)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legătură cu </w:t>
      </w:r>
      <w:r w:rsidRPr="00D82D07">
        <w:rPr>
          <w:rFonts w:asciiTheme="minorHAnsi" w:hAnsiTheme="minorHAnsi" w:cstheme="minorHAnsi"/>
          <w:sz w:val="20"/>
          <w:szCs w:val="20"/>
        </w:rPr>
        <w:t xml:space="preserve">"demonstrarea </w:t>
      </w:r>
      <w:r w:rsidR="00522623">
        <w:rPr>
          <w:rFonts w:asciiTheme="minorHAnsi" w:hAnsiTheme="minorHAnsi" w:cstheme="minorHAnsi"/>
          <w:sz w:val="20"/>
          <w:szCs w:val="20"/>
        </w:rPr>
        <w:t xml:space="preserve">deținerii de certificări specifice care atestă respectarea de către Ofertant a standardului de asigurare a calității </w:t>
      </w:r>
      <w:r w:rsidR="00522623" w:rsidRPr="0017609C">
        <w:rPr>
          <w:rFonts w:cs="Calibri"/>
          <w:i/>
          <w:sz w:val="20"/>
          <w:highlight w:val="lightGray"/>
        </w:rPr>
        <w:t>[introduceți standardul]</w:t>
      </w:r>
      <w:r w:rsidRPr="00D82D07">
        <w:rPr>
          <w:rFonts w:asciiTheme="minorHAnsi" w:hAnsiTheme="minorHAnsi" w:cstheme="minorHAnsi"/>
          <w:i/>
          <w:sz w:val="20"/>
          <w:szCs w:val="20"/>
        </w:rPr>
        <w:t>”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. </w:t>
      </w:r>
    </w:p>
    <w:p w14:paraId="44BDCB76" w14:textId="77777777"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40334D2D" w14:textId="77777777" w:rsidR="00BB7EFD" w:rsidRPr="00D82D07" w:rsidRDefault="00BB7EFD" w:rsidP="00BB7EFD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În cazul în care, din orice motive documentele justificative solicitate nu sunt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limba procedurii specificată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 în secțiunea IV.3.6)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ate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chiziției 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O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peratorii </w:t>
      </w:r>
      <w:r w:rsidR="006B3C5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E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conomici trebuie să prezinte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, ca urmare a solicitării exprese a 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utorității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ontractante versiunea tradusă a respectivelor documente în limba procedurii așa cum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este aceasta specificată 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în secțiunea IV.3.6 a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F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 xml:space="preserve">ișei de </w:t>
      </w:r>
      <w:r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Date a A</w:t>
      </w:r>
      <w:r w:rsidRPr="00D82D07"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  <w:t>chiziției.</w:t>
      </w:r>
    </w:p>
    <w:p w14:paraId="0B2492FD" w14:textId="77777777" w:rsidR="009A4F29" w:rsidRPr="00D82D07" w:rsidRDefault="009A4F29" w:rsidP="009A4F29">
      <w:pPr>
        <w:widowControl w:val="0"/>
        <w:spacing w:after="0" w:line="360" w:lineRule="exact"/>
        <w:jc w:val="both"/>
        <w:rPr>
          <w:rFonts w:asciiTheme="minorHAnsi" w:eastAsia="Times New Roman" w:hAnsiTheme="minorHAnsi" w:cstheme="minorHAnsi"/>
          <w:bCs/>
          <w:iCs/>
          <w:sz w:val="20"/>
          <w:szCs w:val="20"/>
          <w:lang w:eastAsia="ro-RO"/>
        </w:rPr>
      </w:pPr>
    </w:p>
    <w:p w14:paraId="1527AD02" w14:textId="6F4A2615" w:rsidR="00BB7EFD" w:rsidRPr="00654162" w:rsidRDefault="009204EB" w:rsidP="00BB7EFD">
      <w:pPr>
        <w:widowControl w:val="0"/>
        <w:spacing w:after="0" w:line="360" w:lineRule="exact"/>
        <w:jc w:val="both"/>
        <w:rPr>
          <w:rFonts w:eastAsia="Times New Roman"/>
          <w:bCs/>
          <w:iCs/>
          <w:sz w:val="20"/>
          <w:szCs w:val="20"/>
          <w:lang w:eastAsia="ro-RO"/>
        </w:rPr>
      </w:pPr>
      <w:r>
        <w:rPr>
          <w:rFonts w:eastAsia="Times New Roman"/>
          <w:bCs/>
          <w:iCs/>
          <w:sz w:val="20"/>
          <w:szCs w:val="20"/>
          <w:lang w:eastAsia="ro-RO"/>
        </w:rPr>
        <w:t>Î</w:t>
      </w:r>
      <w:r w:rsidR="00DB59C5">
        <w:rPr>
          <w:rFonts w:eastAsia="Times New Roman"/>
          <w:bCs/>
          <w:iCs/>
          <w:sz w:val="20"/>
          <w:szCs w:val="20"/>
          <w:lang w:eastAsia="ro-RO"/>
        </w:rPr>
        <w:t>n aplicarea art</w:t>
      </w:r>
      <w:r>
        <w:rPr>
          <w:rFonts w:eastAsia="Times New Roman"/>
          <w:bCs/>
          <w:iCs/>
          <w:sz w:val="20"/>
          <w:szCs w:val="20"/>
          <w:lang w:eastAsia="ro-RO"/>
        </w:rPr>
        <w:t>.</w:t>
      </w:r>
      <w:bookmarkStart w:id="0" w:name="_GoBack"/>
      <w:bookmarkEnd w:id="0"/>
      <w:r w:rsidR="00DB59C5">
        <w:rPr>
          <w:rFonts w:eastAsia="Times New Roman"/>
          <w:bCs/>
          <w:iCs/>
          <w:sz w:val="20"/>
          <w:szCs w:val="20"/>
          <w:lang w:eastAsia="ro-RO"/>
        </w:rPr>
        <w:t xml:space="preserve"> 197 din Legea 98/2016, atunci  </w:t>
      </w:r>
      <w:r w:rsidR="00DB59C5" w:rsidRPr="00654162">
        <w:rPr>
          <w:rFonts w:eastAsia="Times New Roman"/>
          <w:bCs/>
          <w:iCs/>
          <w:sz w:val="20"/>
          <w:szCs w:val="20"/>
          <w:lang w:eastAsia="ro-RO"/>
        </w:rPr>
        <w:t xml:space="preserve"> </w:t>
      </w:r>
      <w:r w:rsidR="00BB7EFD" w:rsidRPr="00654162">
        <w:rPr>
          <w:rFonts w:eastAsia="Times New Roman"/>
          <w:bCs/>
          <w:iCs/>
          <w:sz w:val="20"/>
          <w:szCs w:val="20"/>
          <w:lang w:eastAsia="ro-RO"/>
        </w:rPr>
        <w:t xml:space="preserve">când, la completarea DUAE, </w:t>
      </w:r>
      <w:r w:rsidR="006B3C57">
        <w:rPr>
          <w:rFonts w:eastAsia="Times New Roman"/>
          <w:bCs/>
          <w:iCs/>
          <w:sz w:val="20"/>
          <w:szCs w:val="20"/>
          <w:lang w:eastAsia="ro-RO"/>
        </w:rPr>
        <w:t>Operatorul Economic</w:t>
      </w:r>
      <w:r w:rsidR="00BB7EFD" w:rsidRPr="00654162">
        <w:rPr>
          <w:rFonts w:eastAsia="Times New Roman"/>
          <w:bCs/>
          <w:iCs/>
          <w:sz w:val="20"/>
          <w:szCs w:val="20"/>
          <w:lang w:eastAsia="ro-RO"/>
        </w:rPr>
        <w:t xml:space="preserve"> precizează că </w:t>
      </w:r>
      <w:r w:rsidR="00BB7EFD" w:rsidRPr="00654162">
        <w:rPr>
          <w:rFonts w:eastAsia="Times New Roman"/>
          <w:bCs/>
          <w:iCs/>
          <w:sz w:val="20"/>
          <w:szCs w:val="20"/>
          <w:lang w:eastAsia="ro-RO"/>
        </w:rPr>
        <w:lastRenderedPageBreak/>
        <w:t>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2E24E8F0" w14:textId="77777777" w:rsidR="003E545B" w:rsidRDefault="003E545B"/>
    <w:p w14:paraId="4CAD57BE" w14:textId="77777777" w:rsidR="00BB7EFD" w:rsidRDefault="00BB7EFD"/>
    <w:sectPr w:rsidR="00BB7E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F507B" w14:textId="77777777" w:rsidR="008552F0" w:rsidRDefault="008552F0" w:rsidP="00647959">
      <w:pPr>
        <w:spacing w:after="0" w:line="240" w:lineRule="auto"/>
      </w:pPr>
      <w:r>
        <w:separator/>
      </w:r>
    </w:p>
  </w:endnote>
  <w:endnote w:type="continuationSeparator" w:id="0">
    <w:p w14:paraId="13457F00" w14:textId="77777777" w:rsidR="008552F0" w:rsidRDefault="008552F0" w:rsidP="0064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79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8440A3" w14:textId="77777777" w:rsidR="00647959" w:rsidRDefault="00647959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04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04E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4D8E3" w14:textId="77777777" w:rsidR="008552F0" w:rsidRDefault="008552F0" w:rsidP="00647959">
      <w:pPr>
        <w:spacing w:after="0" w:line="240" w:lineRule="auto"/>
      </w:pPr>
      <w:r>
        <w:separator/>
      </w:r>
    </w:p>
  </w:footnote>
  <w:footnote w:type="continuationSeparator" w:id="0">
    <w:p w14:paraId="193C3B8B" w14:textId="77777777" w:rsidR="008552F0" w:rsidRDefault="008552F0" w:rsidP="0064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D993AB2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37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C50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00F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09C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09C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97D62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134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1C4E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23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8B0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381C"/>
    <w:rsid w:val="005554ED"/>
    <w:rsid w:val="00556607"/>
    <w:rsid w:val="00556872"/>
    <w:rsid w:val="00556F34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959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C57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0037"/>
    <w:rsid w:val="006E1315"/>
    <w:rsid w:val="006E16E0"/>
    <w:rsid w:val="006E24EC"/>
    <w:rsid w:val="006E2647"/>
    <w:rsid w:val="006E48BD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52F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689E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4EB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29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45AB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B7EF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2127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737E"/>
    <w:rsid w:val="00C578AD"/>
    <w:rsid w:val="00C60DF8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10F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9C5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4816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380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06A3"/>
  <w15:docId w15:val="{5FB903B6-F5C7-4DE1-BC24-D84BEAD7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29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9A4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270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A4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erincomentariu">
    <w:name w:val="annotation reference"/>
    <w:basedOn w:val="Fontdeparagrafimplicit"/>
    <w:uiPriority w:val="99"/>
    <w:semiHidden/>
    <w:unhideWhenUsed/>
    <w:rsid w:val="009A4F2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A4F29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A4F29"/>
    <w:rPr>
      <w:rFonts w:ascii="Calibri" w:eastAsia="Calibri" w:hAnsi="Calibri" w:cs="Times New Roman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A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A4F29"/>
    <w:rPr>
      <w:rFonts w:ascii="Segoe UI" w:eastAsia="Calibri" w:hAnsi="Segoe UI" w:cs="Segoe UI"/>
      <w:sz w:val="18"/>
      <w:szCs w:val="18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A4F2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A4F29"/>
    <w:rPr>
      <w:rFonts w:ascii="Calibri" w:eastAsia="Calibri" w:hAnsi="Calibri" w:cs="Times New Roman"/>
      <w:b/>
      <w:bCs/>
      <w:sz w:val="20"/>
      <w:szCs w:val="20"/>
    </w:rPr>
  </w:style>
  <w:style w:type="paragraph" w:styleId="Listparagraf">
    <w:name w:val="List Paragraph"/>
    <w:basedOn w:val="Normal"/>
    <w:uiPriority w:val="99"/>
    <w:qFormat/>
    <w:rsid w:val="009A4F2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7959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47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7959"/>
    <w:rPr>
      <w:rFonts w:ascii="Calibri" w:eastAsia="Calibri" w:hAnsi="Calibri" w:cs="Times New Roman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2700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Adrian Irimia</cp:lastModifiedBy>
  <cp:revision>9</cp:revision>
  <dcterms:created xsi:type="dcterms:W3CDTF">2017-05-23T14:28:00Z</dcterms:created>
  <dcterms:modified xsi:type="dcterms:W3CDTF">2017-08-29T16:56:00Z</dcterms:modified>
</cp:coreProperties>
</file>