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BC" w:rsidRPr="006C6FF5" w:rsidRDefault="00632BEF" w:rsidP="006C6FF5">
      <w:pPr>
        <w:jc w:val="center"/>
        <w:rPr>
          <w:rFonts w:ascii="Times New Roman" w:hAnsi="Times New Roman" w:cs="Times New Roman"/>
          <w:b/>
          <w:sz w:val="32"/>
          <w:szCs w:val="24"/>
        </w:rPr>
      </w:pPr>
      <w:r w:rsidRPr="006C6FF5">
        <w:rPr>
          <w:rFonts w:ascii="Times New Roman" w:hAnsi="Times New Roman" w:cs="Times New Roman"/>
          <w:b/>
          <w:sz w:val="32"/>
          <w:szCs w:val="24"/>
        </w:rPr>
        <w:t>Notificare privind aplicarea Legii nr. 121/2014 privind eficiența energetică</w:t>
      </w:r>
    </w:p>
    <w:p w:rsidR="006C6FF5" w:rsidRDefault="006C6FF5" w:rsidP="006C6FF5">
      <w:pPr>
        <w:ind w:firstLine="720"/>
        <w:rPr>
          <w:rFonts w:ascii="Times New Roman" w:hAnsi="Times New Roman" w:cs="Times New Roman"/>
          <w:sz w:val="24"/>
          <w:shd w:val="clear" w:color="auto" w:fill="FFFFFF"/>
        </w:rPr>
      </w:pPr>
      <w:r w:rsidRPr="006C6FF5">
        <w:rPr>
          <w:rFonts w:ascii="Times New Roman" w:hAnsi="Times New Roman" w:cs="Times New Roman"/>
          <w:sz w:val="24"/>
          <w:shd w:val="clear" w:color="auto" w:fill="FFFFFF"/>
        </w:rPr>
        <w:t>Din data de 04.08.2014, a intrat în vigoare Legea nr. 121 din 18 iulie 2014 privind eficiența energetică, publicată în M. Of. nr. 574 din 1 august 2014.</w:t>
      </w:r>
      <w:r w:rsidRPr="006C6FF5">
        <w:rPr>
          <w:rFonts w:ascii="Times New Roman" w:hAnsi="Times New Roman" w:cs="Times New Roman"/>
          <w:sz w:val="24"/>
        </w:rPr>
        <w:br/>
      </w:r>
      <w:r w:rsidRPr="006C6FF5">
        <w:rPr>
          <w:rFonts w:ascii="Times New Roman" w:hAnsi="Times New Roman" w:cs="Times New Roman"/>
          <w:sz w:val="24"/>
          <w:shd w:val="clear" w:color="auto" w:fill="FFFFFF"/>
        </w:rPr>
        <w:t xml:space="preserve">Prin adoptarea acestei legi, România și-a îndeplinit angajamentele față de Comisia Europeană de transpunere a </w:t>
      </w:r>
      <w:r w:rsidRPr="006C6FF5">
        <w:rPr>
          <w:rFonts w:ascii="Times New Roman" w:hAnsi="Times New Roman" w:cs="Times New Roman"/>
          <w:b/>
          <w:sz w:val="24"/>
          <w:shd w:val="clear" w:color="auto" w:fill="FFFFFF"/>
        </w:rPr>
        <w:t>Directivei 2012/27/UE a Parlamentului European și a Consiliului</w:t>
      </w:r>
      <w:r w:rsidRPr="006C6FF5">
        <w:rPr>
          <w:rFonts w:ascii="Times New Roman" w:hAnsi="Times New Roman" w:cs="Times New Roman"/>
          <w:sz w:val="24"/>
          <w:shd w:val="clear" w:color="auto" w:fill="FFFFFF"/>
        </w:rPr>
        <w:t xml:space="preserve"> privind eficiența energetică în legislația românească.</w:t>
      </w:r>
      <w:r w:rsidRPr="006C6FF5">
        <w:rPr>
          <w:rFonts w:ascii="Times New Roman" w:hAnsi="Times New Roman" w:cs="Times New Roman"/>
          <w:sz w:val="24"/>
        </w:rPr>
        <w:br/>
      </w:r>
    </w:p>
    <w:p w:rsidR="006C6FF5" w:rsidRDefault="006C6FF5" w:rsidP="006C6FF5">
      <w:pPr>
        <w:ind w:firstLine="720"/>
        <w:rPr>
          <w:rFonts w:ascii="Times New Roman" w:hAnsi="Times New Roman" w:cs="Times New Roman"/>
          <w:sz w:val="24"/>
          <w:shd w:val="clear" w:color="auto" w:fill="FFFFFF"/>
        </w:rPr>
      </w:pPr>
      <w:r w:rsidRPr="006C6FF5">
        <w:rPr>
          <w:rFonts w:ascii="Times New Roman" w:hAnsi="Times New Roman" w:cs="Times New Roman"/>
          <w:sz w:val="24"/>
          <w:shd w:val="clear" w:color="auto" w:fill="FFFFFF"/>
        </w:rPr>
        <w:t>Potrivit art. 7 – Achiziții efectuate de organismele publice – din Legea nr. 121/2014,</w:t>
      </w:r>
      <w:r w:rsidRPr="006C6FF5">
        <w:rPr>
          <w:rFonts w:ascii="Times New Roman" w:hAnsi="Times New Roman" w:cs="Times New Roman"/>
          <w:sz w:val="24"/>
        </w:rPr>
        <w:br/>
      </w:r>
      <w:r w:rsidRPr="006C6FF5">
        <w:rPr>
          <w:rFonts w:ascii="Times New Roman" w:hAnsi="Times New Roman" w:cs="Times New Roman"/>
          <w:sz w:val="24"/>
          <w:shd w:val="clear" w:color="auto" w:fill="FFFFFF"/>
        </w:rPr>
        <w:t>„(1) Administraţiile publice centrale achiziţionează doar produse, servicii, lucrări sau clădiri cu performanţe înalte de eficienţă energetică, în măsura în care această achiziţie corespunde cerinţelor de eficacitate a costurilor, fezabilitate economică, viabilitate sporită, conformitate tehnică, precum şi unui nivel suficient de concurenţă, astfel cum este prevăzut în anexa nr. 1.</w:t>
      </w:r>
      <w:r w:rsidRPr="006C6FF5">
        <w:rPr>
          <w:rFonts w:ascii="Times New Roman" w:hAnsi="Times New Roman" w:cs="Times New Roman"/>
          <w:sz w:val="24"/>
        </w:rPr>
        <w:br/>
      </w:r>
      <w:r w:rsidRPr="006C6FF5">
        <w:rPr>
          <w:rFonts w:ascii="Times New Roman" w:hAnsi="Times New Roman" w:cs="Times New Roman"/>
          <w:sz w:val="24"/>
          <w:shd w:val="clear" w:color="auto" w:fill="FFFFFF"/>
        </w:rPr>
        <w:t>(2) Obligaţia prevăzută la alin. (1) se aplică contractelor de achiziţii de produse, servicii, lucrări sau clădiri de către administraţiile publice centrale.</w:t>
      </w:r>
      <w:r w:rsidRPr="006C6FF5">
        <w:rPr>
          <w:rFonts w:ascii="Times New Roman" w:hAnsi="Times New Roman" w:cs="Times New Roman"/>
          <w:sz w:val="24"/>
        </w:rPr>
        <w:br/>
      </w:r>
      <w:r w:rsidRPr="006C6FF5">
        <w:rPr>
          <w:rFonts w:ascii="Times New Roman" w:hAnsi="Times New Roman" w:cs="Times New Roman"/>
          <w:sz w:val="24"/>
          <w:shd w:val="clear" w:color="auto" w:fill="FFFFFF"/>
        </w:rPr>
        <w:t>(3) Obligaţia menţionată la alin. (1) se aplică în cazul contractelor forţelor armate numai în măsura în care aplicarea sa nu generează un conflict cu natura şi obiectivul principal ale activităţilor forţelor armate.</w:t>
      </w:r>
      <w:r w:rsidRPr="006C6FF5">
        <w:rPr>
          <w:rFonts w:ascii="Times New Roman" w:hAnsi="Times New Roman" w:cs="Times New Roman"/>
          <w:sz w:val="24"/>
        </w:rPr>
        <w:br/>
      </w:r>
      <w:r w:rsidRPr="006C6FF5">
        <w:rPr>
          <w:rFonts w:ascii="Times New Roman" w:hAnsi="Times New Roman" w:cs="Times New Roman"/>
          <w:sz w:val="24"/>
          <w:shd w:val="clear" w:color="auto" w:fill="FFFFFF"/>
        </w:rPr>
        <w:t xml:space="preserve">(4) Obligaţia prevăzută la alin. (1) nu se aplică contractelor de furnizare a echipamentului militar definite în </w:t>
      </w:r>
      <w:r w:rsidRPr="006C6FF5">
        <w:rPr>
          <w:rFonts w:ascii="Times New Roman" w:hAnsi="Times New Roman" w:cs="Times New Roman"/>
          <w:b/>
          <w:sz w:val="24"/>
          <w:shd w:val="clear" w:color="auto" w:fill="FFFFFF"/>
        </w:rPr>
        <w:t>Directiva 2009/81/CE a Parlamentului European şi a Consiliului din 13 iulie 2009</w:t>
      </w:r>
      <w:r w:rsidRPr="006C6FF5">
        <w:rPr>
          <w:rFonts w:ascii="Times New Roman" w:hAnsi="Times New Roman" w:cs="Times New Roman"/>
          <w:sz w:val="24"/>
          <w:shd w:val="clear" w:color="auto" w:fill="FFFFFF"/>
        </w:rPr>
        <w:t xml:space="preserve"> privind coordonarea procedurilor privind atribuirea anumitor contracte de lucrări, de furnizare de bunuri şi de prestare de servicii de către autorităţile sau entităţile contractante în domeniile apărării şi securităţii şi de modificare a </w:t>
      </w:r>
      <w:r w:rsidRPr="006C6FF5">
        <w:rPr>
          <w:rFonts w:ascii="Times New Roman" w:hAnsi="Times New Roman" w:cs="Times New Roman"/>
          <w:b/>
          <w:sz w:val="24"/>
          <w:shd w:val="clear" w:color="auto" w:fill="FFFFFF"/>
        </w:rPr>
        <w:t>Directivelor 2004/17/CE şi 2004/18/CE</w:t>
      </w:r>
      <w:r w:rsidRPr="006C6FF5">
        <w:rPr>
          <w:rFonts w:ascii="Times New Roman" w:hAnsi="Times New Roman" w:cs="Times New Roman"/>
          <w:sz w:val="24"/>
          <w:shd w:val="clear" w:color="auto" w:fill="FFFFFF"/>
        </w:rPr>
        <w:t>.</w:t>
      </w:r>
      <w:r w:rsidRPr="006C6FF5">
        <w:rPr>
          <w:rFonts w:ascii="Times New Roman" w:hAnsi="Times New Roman" w:cs="Times New Roman"/>
          <w:sz w:val="24"/>
        </w:rPr>
        <w:br/>
      </w:r>
      <w:r w:rsidRPr="006C6FF5">
        <w:rPr>
          <w:rFonts w:ascii="Times New Roman" w:hAnsi="Times New Roman" w:cs="Times New Roman"/>
          <w:sz w:val="24"/>
          <w:shd w:val="clear" w:color="auto" w:fill="FFFFFF"/>
        </w:rPr>
        <w:t xml:space="preserve">(5) Prin excepţie de la aplicarea prevederilor alin. (1) şi (2), atunci când un organism public achiziţionează un pachet de produse reglementat în ansamblu de un act delegat adoptat în temeiul </w:t>
      </w:r>
      <w:r w:rsidRPr="006C6FF5">
        <w:rPr>
          <w:rFonts w:ascii="Times New Roman" w:hAnsi="Times New Roman" w:cs="Times New Roman"/>
          <w:b/>
          <w:sz w:val="24"/>
          <w:shd w:val="clear" w:color="auto" w:fill="FFFFFF"/>
        </w:rPr>
        <w:t>Directivei 2010/30/UE a Parlamentului European şi a Consiliului din 19 mai 2010</w:t>
      </w:r>
      <w:r w:rsidRPr="006C6FF5">
        <w:rPr>
          <w:rFonts w:ascii="Times New Roman" w:hAnsi="Times New Roman" w:cs="Times New Roman"/>
          <w:sz w:val="24"/>
          <w:shd w:val="clear" w:color="auto" w:fill="FFFFFF"/>
        </w:rPr>
        <w:t xml:space="preserve"> privind indicarea, prin etichetare şi informaţii standard despre produs, a consumului de energie şi de alte resurse al produselor cu impact energetic, acesta poate solicita ca eficienţa energetică totală să aibă prioritate asupra eficienţei energetice a produselor individuale din pachetul respectiv prin achiziţionarea pachetului de produse care respectă criteriul apartenenţei la cea mai înaltă clasă de eficienţă energetică.”</w:t>
      </w:r>
      <w:r w:rsidRPr="006C6FF5">
        <w:rPr>
          <w:rFonts w:ascii="Times New Roman" w:hAnsi="Times New Roman" w:cs="Times New Roman"/>
          <w:sz w:val="24"/>
        </w:rPr>
        <w:br/>
      </w:r>
    </w:p>
    <w:p w:rsidR="00632BEF" w:rsidRPr="006C6FF5" w:rsidRDefault="006C6FF5" w:rsidP="006C6FF5">
      <w:pPr>
        <w:ind w:firstLine="720"/>
        <w:rPr>
          <w:rFonts w:ascii="Times New Roman" w:hAnsi="Times New Roman" w:cs="Times New Roman"/>
          <w:sz w:val="28"/>
          <w:szCs w:val="24"/>
        </w:rPr>
      </w:pPr>
      <w:r w:rsidRPr="006C6FF5">
        <w:rPr>
          <w:rFonts w:ascii="Times New Roman" w:hAnsi="Times New Roman" w:cs="Times New Roman"/>
          <w:sz w:val="24"/>
          <w:shd w:val="clear" w:color="auto" w:fill="FFFFFF"/>
        </w:rPr>
        <w:t>În subsidiar, precizăm că, în vederea stabilirii</w:t>
      </w:r>
      <w:bookmarkStart w:id="0" w:name="_GoBack"/>
      <w:bookmarkEnd w:id="0"/>
      <w:r w:rsidRPr="006C6FF5">
        <w:rPr>
          <w:rFonts w:ascii="Times New Roman" w:hAnsi="Times New Roman" w:cs="Times New Roman"/>
          <w:sz w:val="24"/>
          <w:shd w:val="clear" w:color="auto" w:fill="FFFFFF"/>
        </w:rPr>
        <w:t xml:space="preserve"> aplicării prevederilor </w:t>
      </w:r>
      <w:r w:rsidRPr="006C6FF5">
        <w:rPr>
          <w:rFonts w:ascii="Times New Roman" w:hAnsi="Times New Roman" w:cs="Times New Roman"/>
          <w:b/>
          <w:sz w:val="24"/>
          <w:shd w:val="clear" w:color="auto" w:fill="FFFFFF"/>
        </w:rPr>
        <w:t>Legii nr. 121/2014</w:t>
      </w:r>
      <w:r w:rsidRPr="006C6FF5">
        <w:rPr>
          <w:rFonts w:ascii="Times New Roman" w:hAnsi="Times New Roman" w:cs="Times New Roman"/>
          <w:sz w:val="24"/>
          <w:shd w:val="clear" w:color="auto" w:fill="FFFFFF"/>
        </w:rPr>
        <w:t xml:space="preserve">, în cazul achiziţionării unor produse, servicii, lucrări sau clădiri cu performanțe înalte de eficiență energetică, organismele publice menţionate la art. 7 din cadrul acestei legi au posibilitatea să acceseze link-ul: http://ec.europa.eu/energy/efficiency/eed/guidance_notes_en.htm unde se regăsesc Notele de ghidare emise de Comisia Europeană cu privire la domeniul de aplicare al </w:t>
      </w:r>
      <w:r w:rsidRPr="006C6FF5">
        <w:rPr>
          <w:rFonts w:ascii="Times New Roman" w:hAnsi="Times New Roman" w:cs="Times New Roman"/>
          <w:b/>
          <w:sz w:val="24"/>
          <w:shd w:val="clear" w:color="auto" w:fill="FFFFFF"/>
        </w:rPr>
        <w:t>Directivei 2012/27/UE</w:t>
      </w:r>
      <w:r w:rsidRPr="006C6FF5">
        <w:rPr>
          <w:rFonts w:ascii="Times New Roman" w:hAnsi="Times New Roman" w:cs="Times New Roman"/>
          <w:sz w:val="24"/>
          <w:shd w:val="clear" w:color="auto" w:fill="FFFFFF"/>
        </w:rPr>
        <w:t xml:space="preserve"> care este transpusă de Legea nr. </w:t>
      </w:r>
      <w:r w:rsidRPr="006C6FF5">
        <w:rPr>
          <w:rFonts w:ascii="Times New Roman" w:hAnsi="Times New Roman" w:cs="Times New Roman"/>
          <w:b/>
          <w:sz w:val="24"/>
          <w:shd w:val="clear" w:color="auto" w:fill="FFFFFF"/>
        </w:rPr>
        <w:t>121/2014</w:t>
      </w:r>
      <w:r w:rsidRPr="006C6FF5">
        <w:rPr>
          <w:rFonts w:ascii="Times New Roman" w:hAnsi="Times New Roman" w:cs="Times New Roman"/>
          <w:sz w:val="24"/>
          <w:shd w:val="clear" w:color="auto" w:fill="FFFFFF"/>
        </w:rPr>
        <w:t xml:space="preserve"> în speţă.</w:t>
      </w:r>
    </w:p>
    <w:p w:rsidR="00632BEF" w:rsidRPr="00632BEF" w:rsidRDefault="00632BEF" w:rsidP="00632BEF">
      <w:pPr>
        <w:jc w:val="both"/>
        <w:rPr>
          <w:rFonts w:ascii="Times New Roman" w:hAnsi="Times New Roman" w:cs="Times New Roman"/>
          <w:sz w:val="24"/>
          <w:szCs w:val="24"/>
        </w:rPr>
      </w:pPr>
    </w:p>
    <w:sectPr w:rsidR="00632BEF" w:rsidRPr="0063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EF"/>
    <w:rsid w:val="000E5C87"/>
    <w:rsid w:val="004F2EBC"/>
    <w:rsid w:val="00632BEF"/>
    <w:rsid w:val="006C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3A7B"/>
  <w15:chartTrackingRefBased/>
  <w15:docId w15:val="{63C2AE7D-E85E-4376-B84D-9E4FA592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2579</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 Maria Nica</dc:creator>
  <cp:keywords/>
  <dc:description/>
  <cp:lastModifiedBy>Ana - Maria Nica</cp:lastModifiedBy>
  <cp:revision>3</cp:revision>
  <dcterms:created xsi:type="dcterms:W3CDTF">2018-12-20T11:30:00Z</dcterms:created>
  <dcterms:modified xsi:type="dcterms:W3CDTF">2018-12-20T11:33:00Z</dcterms:modified>
</cp:coreProperties>
</file>